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58C5B" w14:textId="18DB892D" w:rsidR="00D175E4" w:rsidRPr="00F515D6" w:rsidRDefault="00CA2841" w:rsidP="002D75D0">
      <w:pPr>
        <w:spacing w:after="0" w:line="240" w:lineRule="auto"/>
        <w:ind w:left="4248" w:firstLine="708"/>
        <w:rPr>
          <w:rFonts w:cstheme="minorHAnsi"/>
          <w:b/>
          <w:bCs/>
        </w:rPr>
      </w:pPr>
      <w:bookmarkStart w:id="0" w:name="_Hlk107398740"/>
      <w:r w:rsidRPr="00F515D6">
        <w:rPr>
          <w:rFonts w:cstheme="minorHAnsi"/>
          <w:b/>
          <w:bCs/>
        </w:rPr>
        <w:t>Uwagi</w:t>
      </w:r>
      <w:r w:rsidR="00573D34" w:rsidRPr="00F515D6">
        <w:rPr>
          <w:rFonts w:cstheme="minorHAnsi"/>
          <w:b/>
          <w:bCs/>
        </w:rPr>
        <w:t xml:space="preserve"> </w:t>
      </w:r>
      <w:r w:rsidR="00D175E4" w:rsidRPr="00F515D6">
        <w:rPr>
          <w:rFonts w:cstheme="minorHAnsi"/>
          <w:b/>
          <w:bCs/>
        </w:rPr>
        <w:t>w ramach uzgodnień międzyresortowych</w:t>
      </w:r>
    </w:p>
    <w:p w14:paraId="29B17891" w14:textId="163E9DB4" w:rsidR="00FE269E" w:rsidRPr="0045124C" w:rsidRDefault="00CA2841" w:rsidP="002D75D0">
      <w:pPr>
        <w:spacing w:after="0" w:line="240" w:lineRule="auto"/>
        <w:jc w:val="center"/>
        <w:rPr>
          <w:rFonts w:cstheme="minorHAnsi"/>
          <w:b/>
          <w:i/>
        </w:rPr>
      </w:pPr>
      <w:r w:rsidRPr="00F515D6">
        <w:rPr>
          <w:rFonts w:cstheme="minorHAnsi"/>
          <w:b/>
          <w:bCs/>
        </w:rPr>
        <w:t>do projektu</w:t>
      </w:r>
      <w:bookmarkStart w:id="1" w:name="_Hlk163464623"/>
      <w:r w:rsidR="00894E5C" w:rsidRPr="00F515D6">
        <w:rPr>
          <w:rFonts w:cstheme="minorHAnsi"/>
          <w:b/>
          <w:bCs/>
        </w:rPr>
        <w:t xml:space="preserve"> ustawy</w:t>
      </w:r>
      <w:r w:rsidR="00894E5C" w:rsidRPr="00F515D6">
        <w:rPr>
          <w:rFonts w:eastAsia="Times New Roman" w:cstheme="minorHAnsi"/>
          <w:b/>
          <w:color w:val="000000" w:themeColor="text1"/>
          <w:lang w:eastAsia="pl-PL"/>
        </w:rPr>
        <w:t xml:space="preserve"> </w:t>
      </w:r>
      <w:bookmarkEnd w:id="1"/>
      <w:r w:rsidR="00573D34" w:rsidRPr="00F515D6">
        <w:rPr>
          <w:rFonts w:cstheme="minorHAnsi"/>
          <w:b/>
          <w:i/>
        </w:rPr>
        <w:t>o zmianie ustawy o systemach homologacji pojazdów oraz ich wyposażenia oraz niektórych innych ustaw</w:t>
      </w:r>
    </w:p>
    <w:p w14:paraId="304455B3" w14:textId="66DE3538" w:rsidR="00CA2841" w:rsidRDefault="002D75D0" w:rsidP="002D75D0">
      <w:pPr>
        <w:spacing w:after="0" w:line="240" w:lineRule="auto"/>
        <w:ind w:left="3540"/>
        <w:rPr>
          <w:rFonts w:cstheme="minorHAnsi"/>
          <w:b/>
          <w:bCs/>
        </w:rPr>
      </w:pPr>
      <w:r>
        <w:rPr>
          <w:rFonts w:cstheme="minorHAnsi"/>
          <w:b/>
          <w:iCs/>
          <w:color w:val="000000" w:themeColor="text1"/>
        </w:rPr>
        <w:t xml:space="preserve">      </w:t>
      </w:r>
      <w:r w:rsidR="00D175E4" w:rsidRPr="00F515D6">
        <w:rPr>
          <w:rFonts w:cstheme="minorHAnsi"/>
          <w:b/>
          <w:iCs/>
          <w:color w:val="000000" w:themeColor="text1"/>
        </w:rPr>
        <w:t>(</w:t>
      </w:r>
      <w:r w:rsidR="00112C04" w:rsidRPr="00F515D6">
        <w:rPr>
          <w:rFonts w:cstheme="minorHAnsi"/>
          <w:b/>
          <w:bCs/>
        </w:rPr>
        <w:t>UC95</w:t>
      </w:r>
      <w:r w:rsidR="00894E5C" w:rsidRPr="00F515D6">
        <w:rPr>
          <w:rFonts w:cstheme="minorHAnsi"/>
          <w:b/>
          <w:bCs/>
        </w:rPr>
        <w:t xml:space="preserve"> w Wykazie prac legislacyjnych</w:t>
      </w:r>
      <w:r w:rsidR="00573D34" w:rsidRPr="00F515D6">
        <w:rPr>
          <w:rFonts w:cstheme="minorHAnsi"/>
          <w:b/>
          <w:bCs/>
        </w:rPr>
        <w:t xml:space="preserve"> </w:t>
      </w:r>
      <w:r w:rsidR="00894E5C" w:rsidRPr="00F515D6">
        <w:rPr>
          <w:rFonts w:cstheme="minorHAnsi"/>
          <w:b/>
          <w:bCs/>
        </w:rPr>
        <w:t>i programowych Rady Ministrów)</w:t>
      </w:r>
      <w:r w:rsidR="0045124C" w:rsidRPr="0045124C">
        <w:rPr>
          <w:rFonts w:cstheme="minorHAnsi"/>
          <w:b/>
          <w:bCs/>
          <w:color w:val="0070C0"/>
          <w:vertAlign w:val="superscript"/>
        </w:rPr>
        <w:t>*)</w:t>
      </w:r>
    </w:p>
    <w:p w14:paraId="1C6344B7" w14:textId="77777777" w:rsidR="0045124C" w:rsidRDefault="0045124C" w:rsidP="0042202B">
      <w:pPr>
        <w:spacing w:after="0" w:line="240" w:lineRule="auto"/>
        <w:rPr>
          <w:rFonts w:cstheme="minorHAnsi"/>
          <w:b/>
          <w:bCs/>
        </w:rPr>
      </w:pPr>
    </w:p>
    <w:p w14:paraId="711D6FEE" w14:textId="14DBC425" w:rsidR="00CA2841" w:rsidRPr="0045124C" w:rsidRDefault="0045124C" w:rsidP="0042202B">
      <w:pPr>
        <w:rPr>
          <w:b/>
          <w:color w:val="0070C0"/>
          <w:sz w:val="20"/>
          <w:szCs w:val="20"/>
          <w:u w:val="single"/>
        </w:rPr>
      </w:pPr>
      <w:r w:rsidRPr="00F44B7F">
        <w:rPr>
          <w:b/>
          <w:color w:val="0070C0"/>
          <w:sz w:val="20"/>
          <w:szCs w:val="20"/>
          <w:u w:val="single"/>
        </w:rPr>
        <w:t>*</w:t>
      </w:r>
      <w:r w:rsidRPr="00F44B7F">
        <w:rPr>
          <w:b/>
          <w:color w:val="0070C0"/>
          <w:sz w:val="20"/>
          <w:szCs w:val="20"/>
          <w:u w:val="single"/>
          <w:vertAlign w:val="superscript"/>
        </w:rPr>
        <w:t>)</w:t>
      </w:r>
      <w:r w:rsidRPr="00F44B7F">
        <w:rPr>
          <w:b/>
          <w:color w:val="0070C0"/>
          <w:sz w:val="20"/>
          <w:szCs w:val="20"/>
          <w:u w:val="single"/>
        </w:rPr>
        <w:t xml:space="preserve"> Na niebiesko zaznaczono zmiany wprowadzone do projektu w wyniku analizy uwag i stanowisk przedstawionych na konferencji</w:t>
      </w:r>
      <w:r w:rsidR="00D150F0">
        <w:rPr>
          <w:b/>
          <w:color w:val="0070C0"/>
          <w:sz w:val="20"/>
          <w:szCs w:val="20"/>
          <w:u w:val="single"/>
        </w:rPr>
        <w:t xml:space="preserve"> oraz roboczych ustaleń po konferencji</w:t>
      </w:r>
      <w:r w:rsidRPr="00F44B7F">
        <w:rPr>
          <w:b/>
          <w:color w:val="0070C0"/>
          <w:sz w:val="20"/>
          <w:szCs w:val="20"/>
          <w:u w:val="single"/>
        </w:rPr>
        <w:t xml:space="preserve"> </w:t>
      </w:r>
    </w:p>
    <w:tbl>
      <w:tblPr>
        <w:tblStyle w:val="Tabela-Siatka"/>
        <w:tblpPr w:leftFromText="142" w:rightFromText="142" w:vertAnchor="text" w:horzAnchor="margin" w:tblpXSpec="center" w:tblpY="58"/>
        <w:tblW w:w="16722" w:type="dxa"/>
        <w:tblLayout w:type="fixed"/>
        <w:tblLook w:val="04A0" w:firstRow="1" w:lastRow="0" w:firstColumn="1" w:lastColumn="0" w:noHBand="0" w:noVBand="1"/>
      </w:tblPr>
      <w:tblGrid>
        <w:gridCol w:w="562"/>
        <w:gridCol w:w="993"/>
        <w:gridCol w:w="1701"/>
        <w:gridCol w:w="5953"/>
        <w:gridCol w:w="3827"/>
        <w:gridCol w:w="3686"/>
      </w:tblGrid>
      <w:tr w:rsidR="0059404D" w:rsidRPr="00F515D6" w14:paraId="47E9ED08" w14:textId="0E2B0725" w:rsidTr="00D76FE7">
        <w:trPr>
          <w:trHeight w:val="551"/>
          <w:tblHeader/>
        </w:trPr>
        <w:tc>
          <w:tcPr>
            <w:tcW w:w="562" w:type="dxa"/>
          </w:tcPr>
          <w:bookmarkEnd w:id="0"/>
          <w:p w14:paraId="115BF413" w14:textId="6257DDCF" w:rsidR="0059404D" w:rsidRPr="006C019F" w:rsidRDefault="0059404D" w:rsidP="002D75D0">
            <w:pPr>
              <w:jc w:val="center"/>
              <w:rPr>
                <w:rFonts w:cstheme="minorHAnsi"/>
                <w:b/>
                <w:bCs/>
              </w:rPr>
            </w:pPr>
            <w:r w:rsidRPr="006C019F">
              <w:rPr>
                <w:rFonts w:cstheme="minorHAnsi"/>
                <w:b/>
                <w:bCs/>
              </w:rPr>
              <w:t>Lp.</w:t>
            </w:r>
          </w:p>
        </w:tc>
        <w:tc>
          <w:tcPr>
            <w:tcW w:w="993" w:type="dxa"/>
          </w:tcPr>
          <w:p w14:paraId="5BCB6574" w14:textId="77777777" w:rsidR="002D75D0" w:rsidRDefault="002D75D0" w:rsidP="002D75D0">
            <w:pPr>
              <w:jc w:val="center"/>
              <w:rPr>
                <w:rFonts w:cstheme="minorHAnsi"/>
                <w:b/>
                <w:bCs/>
              </w:rPr>
            </w:pPr>
          </w:p>
          <w:p w14:paraId="0DF03FBF" w14:textId="77777777" w:rsidR="002D75D0" w:rsidRDefault="002D75D0" w:rsidP="002D75D0">
            <w:pPr>
              <w:jc w:val="center"/>
              <w:rPr>
                <w:rFonts w:cstheme="minorHAnsi"/>
                <w:b/>
                <w:bCs/>
              </w:rPr>
            </w:pPr>
          </w:p>
          <w:p w14:paraId="0FAF4510" w14:textId="25000C9A" w:rsidR="0059404D" w:rsidRPr="006C019F" w:rsidRDefault="0059404D" w:rsidP="002D75D0">
            <w:pPr>
              <w:jc w:val="center"/>
              <w:rPr>
                <w:rFonts w:cstheme="minorHAnsi"/>
                <w:b/>
                <w:bCs/>
              </w:rPr>
            </w:pPr>
            <w:r w:rsidRPr="006C019F">
              <w:rPr>
                <w:rFonts w:cstheme="minorHAnsi"/>
                <w:b/>
                <w:bCs/>
              </w:rPr>
              <w:t>Podmiot wnoszący uwagę</w:t>
            </w:r>
          </w:p>
        </w:tc>
        <w:tc>
          <w:tcPr>
            <w:tcW w:w="1701" w:type="dxa"/>
          </w:tcPr>
          <w:p w14:paraId="59F4DAB2" w14:textId="77777777" w:rsidR="002D75D0" w:rsidRDefault="002D75D0" w:rsidP="002D75D0">
            <w:pPr>
              <w:jc w:val="center"/>
              <w:rPr>
                <w:rFonts w:cstheme="minorHAnsi"/>
                <w:b/>
                <w:bCs/>
              </w:rPr>
            </w:pPr>
          </w:p>
          <w:p w14:paraId="64BEA572" w14:textId="77777777" w:rsidR="002D75D0" w:rsidRDefault="002D75D0" w:rsidP="002D75D0">
            <w:pPr>
              <w:jc w:val="center"/>
              <w:rPr>
                <w:rFonts w:cstheme="minorHAnsi"/>
                <w:b/>
                <w:bCs/>
              </w:rPr>
            </w:pPr>
          </w:p>
          <w:p w14:paraId="51F92737" w14:textId="2176C70B" w:rsidR="0059404D" w:rsidRPr="006C019F" w:rsidRDefault="0059404D" w:rsidP="002D75D0">
            <w:pPr>
              <w:jc w:val="center"/>
              <w:rPr>
                <w:rFonts w:cstheme="minorHAnsi"/>
                <w:b/>
                <w:bCs/>
              </w:rPr>
            </w:pPr>
            <w:r w:rsidRPr="006C019F">
              <w:rPr>
                <w:rFonts w:cstheme="minorHAnsi"/>
                <w:b/>
                <w:bCs/>
              </w:rPr>
              <w:t>Jednostka redakcyjna, do której wnoszona jest uwaga</w:t>
            </w:r>
            <w:r w:rsidRPr="006C019F">
              <w:rPr>
                <w:rStyle w:val="Odwoanieprzypisudolnego"/>
                <w:rFonts w:cstheme="minorHAnsi"/>
                <w:b/>
                <w:bCs/>
              </w:rPr>
              <w:footnoteReference w:customMarkFollows="1" w:id="1"/>
              <w:t>1)</w:t>
            </w:r>
          </w:p>
        </w:tc>
        <w:tc>
          <w:tcPr>
            <w:tcW w:w="5953" w:type="dxa"/>
          </w:tcPr>
          <w:p w14:paraId="19436F69" w14:textId="77777777" w:rsidR="002D75D0" w:rsidRDefault="002D75D0" w:rsidP="002D75D0">
            <w:pPr>
              <w:jc w:val="center"/>
              <w:rPr>
                <w:rFonts w:cstheme="minorHAnsi"/>
                <w:b/>
                <w:bCs/>
              </w:rPr>
            </w:pPr>
          </w:p>
          <w:p w14:paraId="200E3A73" w14:textId="77777777" w:rsidR="002D75D0" w:rsidRDefault="002D75D0" w:rsidP="002D75D0">
            <w:pPr>
              <w:jc w:val="center"/>
              <w:rPr>
                <w:rFonts w:cstheme="minorHAnsi"/>
                <w:b/>
                <w:bCs/>
              </w:rPr>
            </w:pPr>
          </w:p>
          <w:p w14:paraId="6F137357" w14:textId="77777777" w:rsidR="002D75D0" w:rsidRDefault="002D75D0" w:rsidP="002D75D0">
            <w:pPr>
              <w:jc w:val="center"/>
              <w:rPr>
                <w:rFonts w:cstheme="minorHAnsi"/>
                <w:b/>
                <w:bCs/>
              </w:rPr>
            </w:pPr>
          </w:p>
          <w:p w14:paraId="74AACE5A" w14:textId="54CA4705" w:rsidR="0059404D" w:rsidRPr="006C019F" w:rsidRDefault="0059404D" w:rsidP="002D75D0">
            <w:pPr>
              <w:jc w:val="center"/>
              <w:rPr>
                <w:rFonts w:cstheme="minorHAnsi"/>
                <w:b/>
                <w:bCs/>
                <w:noProof/>
              </w:rPr>
            </w:pPr>
            <w:r w:rsidRPr="006C019F">
              <w:rPr>
                <w:rFonts w:cstheme="minorHAnsi"/>
                <w:b/>
                <w:bCs/>
              </w:rPr>
              <w:t>Treść uwagi</w:t>
            </w:r>
          </w:p>
        </w:tc>
        <w:tc>
          <w:tcPr>
            <w:tcW w:w="3827" w:type="dxa"/>
          </w:tcPr>
          <w:p w14:paraId="76081AB3" w14:textId="77777777" w:rsidR="002D75D0" w:rsidRDefault="002D75D0" w:rsidP="002D75D0">
            <w:pPr>
              <w:jc w:val="center"/>
              <w:rPr>
                <w:rFonts w:cstheme="minorHAnsi"/>
                <w:b/>
                <w:bCs/>
              </w:rPr>
            </w:pPr>
          </w:p>
          <w:p w14:paraId="6E48875E" w14:textId="77777777" w:rsidR="002D75D0" w:rsidRDefault="002D75D0" w:rsidP="002D75D0">
            <w:pPr>
              <w:jc w:val="center"/>
              <w:rPr>
                <w:rFonts w:cstheme="minorHAnsi"/>
                <w:b/>
                <w:bCs/>
              </w:rPr>
            </w:pPr>
          </w:p>
          <w:p w14:paraId="558D22F6" w14:textId="77777777" w:rsidR="002D75D0" w:rsidRDefault="002D75D0" w:rsidP="002D75D0">
            <w:pPr>
              <w:jc w:val="center"/>
              <w:rPr>
                <w:rFonts w:cstheme="minorHAnsi"/>
                <w:b/>
                <w:bCs/>
              </w:rPr>
            </w:pPr>
          </w:p>
          <w:p w14:paraId="2C049C38" w14:textId="6F7E2638" w:rsidR="0059404D" w:rsidRPr="00F001BF" w:rsidRDefault="0059404D" w:rsidP="002D75D0">
            <w:pPr>
              <w:jc w:val="center"/>
              <w:rPr>
                <w:rFonts w:cstheme="minorHAnsi"/>
                <w:b/>
                <w:bCs/>
              </w:rPr>
            </w:pPr>
            <w:r w:rsidRPr="00F001BF">
              <w:rPr>
                <w:rFonts w:cstheme="minorHAnsi"/>
                <w:b/>
                <w:bCs/>
              </w:rPr>
              <w:t>Stanowisko do uwagi</w:t>
            </w:r>
          </w:p>
        </w:tc>
        <w:tc>
          <w:tcPr>
            <w:tcW w:w="3686" w:type="dxa"/>
          </w:tcPr>
          <w:p w14:paraId="2D257FC4" w14:textId="77777777" w:rsidR="0059404D" w:rsidRPr="0045124C" w:rsidRDefault="0059404D" w:rsidP="002D75D0">
            <w:pPr>
              <w:jc w:val="center"/>
              <w:rPr>
                <w:rFonts w:cstheme="minorHAnsi"/>
                <w:b/>
                <w:bCs/>
                <w:color w:val="FF0000"/>
              </w:rPr>
            </w:pPr>
          </w:p>
          <w:p w14:paraId="6C30CA94" w14:textId="26D88D46" w:rsidR="0045124C" w:rsidRPr="0045124C" w:rsidRDefault="0045124C" w:rsidP="002D75D0">
            <w:pPr>
              <w:tabs>
                <w:tab w:val="left" w:pos="2038"/>
              </w:tabs>
              <w:jc w:val="center"/>
              <w:rPr>
                <w:rFonts w:cstheme="minorHAnsi"/>
                <w:b/>
                <w:color w:val="FF0000"/>
                <w:u w:val="single"/>
              </w:rPr>
            </w:pPr>
            <w:r>
              <w:rPr>
                <w:rFonts w:cstheme="minorHAnsi"/>
                <w:b/>
                <w:color w:val="FF0000"/>
                <w:u w:val="single"/>
              </w:rPr>
              <w:t>K</w:t>
            </w:r>
            <w:r w:rsidRPr="0045124C">
              <w:rPr>
                <w:rFonts w:cstheme="minorHAnsi"/>
                <w:b/>
                <w:color w:val="FF0000"/>
                <w:u w:val="single"/>
              </w:rPr>
              <w:t>onferencja uzg</w:t>
            </w:r>
            <w:r>
              <w:rPr>
                <w:rFonts w:cstheme="minorHAnsi"/>
                <w:b/>
                <w:color w:val="FF0000"/>
                <w:u w:val="single"/>
              </w:rPr>
              <w:t xml:space="preserve">odnieniowa </w:t>
            </w:r>
            <w:r w:rsidRPr="0045124C">
              <w:rPr>
                <w:rFonts w:cstheme="minorHAnsi"/>
                <w:b/>
                <w:color w:val="FF0000"/>
                <w:u w:val="single"/>
              </w:rPr>
              <w:t>27.04</w:t>
            </w:r>
            <w:r>
              <w:rPr>
                <w:rFonts w:cstheme="minorHAnsi"/>
                <w:b/>
                <w:color w:val="FF0000"/>
                <w:u w:val="single"/>
              </w:rPr>
              <w:t xml:space="preserve">.2026 – </w:t>
            </w:r>
            <w:r w:rsidRPr="0045124C">
              <w:rPr>
                <w:rFonts w:cstheme="minorHAnsi"/>
                <w:b/>
                <w:color w:val="FF0000"/>
                <w:u w:val="single"/>
              </w:rPr>
              <w:t>ustalenia</w:t>
            </w:r>
          </w:p>
          <w:p w14:paraId="1FF6134E" w14:textId="491F8C6C" w:rsidR="00E13496" w:rsidRDefault="00D150F0" w:rsidP="002D75D0">
            <w:pPr>
              <w:tabs>
                <w:tab w:val="left" w:pos="2038"/>
              </w:tabs>
              <w:jc w:val="center"/>
              <w:rPr>
                <w:b/>
                <w:color w:val="0070C0"/>
                <w:u w:val="single"/>
              </w:rPr>
            </w:pPr>
            <w:r>
              <w:rPr>
                <w:b/>
                <w:color w:val="0070C0"/>
                <w:u w:val="single"/>
              </w:rPr>
              <w:t>Ustalenia i z</w:t>
            </w:r>
            <w:r w:rsidR="0045124C" w:rsidRPr="0045124C">
              <w:rPr>
                <w:b/>
                <w:color w:val="0070C0"/>
                <w:u w:val="single"/>
              </w:rPr>
              <w:t>miany wprowadzone do projektu w wyniku analizy uwag i stanowisk przedstawionych na konferencji</w:t>
            </w:r>
            <w:r w:rsidR="0045124C">
              <w:rPr>
                <w:b/>
                <w:color w:val="0070C0"/>
                <w:u w:val="single"/>
              </w:rPr>
              <w:t>/</w:t>
            </w:r>
            <w:r w:rsidR="005D5278">
              <w:rPr>
                <w:b/>
                <w:color w:val="0070C0"/>
                <w:u w:val="single"/>
              </w:rPr>
              <w:t>roboczych uzgodnień po konferencji</w:t>
            </w:r>
          </w:p>
          <w:p w14:paraId="23BDC8DF" w14:textId="060243F7" w:rsidR="00575BB9" w:rsidRPr="0045124C" w:rsidRDefault="00575BB9" w:rsidP="002D75D0">
            <w:pPr>
              <w:tabs>
                <w:tab w:val="left" w:pos="2038"/>
              </w:tabs>
              <w:jc w:val="center"/>
              <w:rPr>
                <w:rFonts w:cstheme="minorHAnsi"/>
                <w:b/>
                <w:color w:val="FF0000"/>
                <w:u w:val="single"/>
              </w:rPr>
            </w:pPr>
          </w:p>
        </w:tc>
      </w:tr>
      <w:tr w:rsidR="0059404D" w:rsidRPr="00F515D6" w14:paraId="0FB61E1D" w14:textId="42CFCFDB" w:rsidTr="00D76FE7">
        <w:tc>
          <w:tcPr>
            <w:tcW w:w="562" w:type="dxa"/>
          </w:tcPr>
          <w:p w14:paraId="2290782F" w14:textId="09472799" w:rsidR="0059404D" w:rsidRPr="001C7DBF" w:rsidRDefault="0059404D" w:rsidP="0042202B">
            <w:pPr>
              <w:rPr>
                <w:rFonts w:cstheme="minorHAnsi"/>
                <w:b/>
              </w:rPr>
            </w:pPr>
            <w:r w:rsidRPr="001C7DBF">
              <w:rPr>
                <w:rFonts w:cstheme="minorHAnsi"/>
                <w:b/>
              </w:rPr>
              <w:t>1</w:t>
            </w:r>
          </w:p>
        </w:tc>
        <w:tc>
          <w:tcPr>
            <w:tcW w:w="993" w:type="dxa"/>
          </w:tcPr>
          <w:p w14:paraId="1B5F6550" w14:textId="694B4FF4" w:rsidR="0059404D" w:rsidRPr="001C7DBF" w:rsidRDefault="0059404D" w:rsidP="0042202B">
            <w:pPr>
              <w:rPr>
                <w:rFonts w:cstheme="minorHAnsi"/>
                <w:b/>
              </w:rPr>
            </w:pPr>
            <w:r w:rsidRPr="001C7DBF">
              <w:rPr>
                <w:rFonts w:cstheme="minorHAnsi"/>
                <w:b/>
              </w:rPr>
              <w:t xml:space="preserve">RCL </w:t>
            </w:r>
          </w:p>
        </w:tc>
        <w:tc>
          <w:tcPr>
            <w:tcW w:w="1701" w:type="dxa"/>
          </w:tcPr>
          <w:p w14:paraId="76604A60" w14:textId="20FDA9E0" w:rsidR="0059404D" w:rsidRPr="001C7DBF" w:rsidRDefault="0059404D" w:rsidP="0042202B">
            <w:pPr>
              <w:rPr>
                <w:rFonts w:cstheme="minorHAnsi"/>
                <w:b/>
              </w:rPr>
            </w:pPr>
            <w:r w:rsidRPr="001C7DBF">
              <w:rPr>
                <w:rFonts w:cstheme="minorHAnsi"/>
                <w:b/>
              </w:rPr>
              <w:t>Art. 1 ust. 3 pkt 1b, art. 13 ust. 3 pkt 2 i ust. 3a pkt 2, art. 14 ust. 5, art. 68a ust. 7, art. 68m ust. 1, ust. 3 pkt 1 i ust. 4, art. 68n ust. 1 pkt 3, ust. 3 pkt 1 i ust. 4 oraz art. art. 71a ust. 1 pkt 2 ustawy homo</w:t>
            </w:r>
            <w:r>
              <w:rPr>
                <w:rFonts w:cstheme="minorHAnsi"/>
                <w:b/>
              </w:rPr>
              <w:t xml:space="preserve">logacyjnej dalej </w:t>
            </w:r>
            <w:r w:rsidRPr="001C7DBF">
              <w:rPr>
                <w:rFonts w:cstheme="minorHAnsi"/>
                <w:b/>
              </w:rPr>
              <w:t>„UH”</w:t>
            </w:r>
          </w:p>
          <w:p w14:paraId="35BE776B" w14:textId="104B3A71" w:rsidR="0059404D" w:rsidRPr="001C7DBF" w:rsidRDefault="0059404D" w:rsidP="0042202B">
            <w:pPr>
              <w:rPr>
                <w:rFonts w:cstheme="minorHAnsi"/>
                <w:b/>
              </w:rPr>
            </w:pPr>
          </w:p>
        </w:tc>
        <w:tc>
          <w:tcPr>
            <w:tcW w:w="5953" w:type="dxa"/>
          </w:tcPr>
          <w:p w14:paraId="66F8170A" w14:textId="3D836E39" w:rsidR="0059404D" w:rsidRPr="001F44A3" w:rsidRDefault="0059404D" w:rsidP="0042202B">
            <w:pPr>
              <w:widowControl w:val="0"/>
              <w:numPr>
                <w:ilvl w:val="0"/>
                <w:numId w:val="2"/>
              </w:numPr>
              <w:ind w:hanging="426"/>
              <w:rPr>
                <w:rFonts w:cstheme="minorHAnsi"/>
                <w:b/>
              </w:rPr>
            </w:pPr>
            <w:r w:rsidRPr="001C7DBF">
              <w:rPr>
                <w:rFonts w:cstheme="minorHAnsi"/>
                <w:b/>
              </w:rPr>
              <w:t xml:space="preserve">W art. 1 pkt 2 lit. c projektu zastrzeżenia budzi proponowane brzmienie art. 1 ust. 3 pkt 1b ustawy z dnia 14 kwietnia 2023 r. o systemach homologacji pojazdów oraz ich wyposażenia, zwanej dalej „ustawą”, zgodnie z którym ustawę stosuje się do pojazdów (...) podlegających procedurze uznania świadectwa krajowego indywidualnego dopuszczenia pojazdu wydanego na dany pojazd zgodnie z art. 1 ust. 1 rozporządzenia 167/2013, art. 1 ust. 1 rozporządzenia 168/2013 albo art. 45 rozporządzenia 2018/858 przez właściwy organ innego niż Rzeczpospolita Polska państwa członkowskiego Unii Europejskiej. Zastrzeżenia dotyczą odesłania do art. 1 ust. 1 rozporządzeń 167/2013 i 168/2013, gdyż przepisy te określają zakres przedmiotowy tych rozporządzeń i w opinii RCL nie stanowią bezpośredniej podstawy wydania ww. świadectwa, a to sugeruje użyte w analizowanym art. 1 ust. 3 pkt 1b ustawy sformułowanie „zgodnie z”. Takie odesłanie powoduje niejasność i nieprecyzyjność ww. przepisu, co wymaga wyeliminowania. Ponadto wątpliwości budzi ogólne odesłanie do całego art. 45 rozporządzenia 2018/858, które także wymaga skorygowania. Analogiczna uwaga dotyczy także innych projektowanych przepisów, w których są zamieszczone takie odesłania, przykładowo art. 13 ust. 3 pkt 2 i ust. 3a pkt 2, </w:t>
            </w:r>
            <w:r w:rsidRPr="001C7DBF">
              <w:rPr>
                <w:rFonts w:cstheme="minorHAnsi"/>
                <w:b/>
              </w:rPr>
              <w:lastRenderedPageBreak/>
              <w:t>art. 14 ust. 5, art. 68a ust. 7, art. 68m ust. 1, ust. 3 pkt 1 i ust. 4, art. 68n ust. 1 pkt 3, ust. 3 pkt 1 i ust. 4 oraz art. art. 71a ust. 1 pkt 2 ustawy.</w:t>
            </w:r>
          </w:p>
        </w:tc>
        <w:tc>
          <w:tcPr>
            <w:tcW w:w="3827" w:type="dxa"/>
          </w:tcPr>
          <w:p w14:paraId="3FD27402" w14:textId="635EACF6" w:rsidR="0059404D" w:rsidRPr="001C7DBF" w:rsidRDefault="0059404D" w:rsidP="0042202B">
            <w:pPr>
              <w:rPr>
                <w:rFonts w:cstheme="minorHAnsi"/>
                <w:b/>
              </w:rPr>
            </w:pPr>
            <w:r w:rsidRPr="001C7DBF">
              <w:rPr>
                <w:rFonts w:cstheme="minorHAnsi"/>
                <w:b/>
              </w:rPr>
              <w:lastRenderedPageBreak/>
              <w:t xml:space="preserve">Uwaga nieuwzględniona w zakresie usunięcia odwołania do art. 1 ust. 1 rozporządzeń (UE) nr 167 i 168 - w rozporządzeniach homologacyjnych (UE) nr 167 i 168 nie ma innego przepisu w zakresie dopuszczeń indywidualnych – </w:t>
            </w:r>
          </w:p>
          <w:p w14:paraId="342282BF" w14:textId="27830B40" w:rsidR="0059404D" w:rsidRPr="001C7DBF" w:rsidRDefault="0059404D" w:rsidP="0042202B">
            <w:pPr>
              <w:rPr>
                <w:rFonts w:cstheme="minorHAnsi"/>
                <w:b/>
              </w:rPr>
            </w:pPr>
            <w:r w:rsidRPr="001C7DBF">
              <w:rPr>
                <w:rFonts w:cstheme="minorHAnsi"/>
                <w:b/>
              </w:rPr>
              <w:t xml:space="preserve">a celem przepisów krajowych jest odwołanie się do tych rozporządzeń UE jako podstawy wydawania w PL krajowych dopuszczeń indywidualnych, o których informacja jest tylko w art. 1 tych rozporządzeń, który przewiduje możliwość wydawania takich dokumentów na poziomie państw UE. </w:t>
            </w:r>
          </w:p>
          <w:p w14:paraId="07AA4FB2" w14:textId="00A28787" w:rsidR="0059404D" w:rsidRPr="001C7DBF" w:rsidRDefault="0059404D" w:rsidP="0042202B">
            <w:pPr>
              <w:rPr>
                <w:rFonts w:cstheme="minorHAnsi"/>
                <w:b/>
              </w:rPr>
            </w:pPr>
          </w:p>
          <w:p w14:paraId="76360894" w14:textId="6572516F" w:rsidR="0059404D" w:rsidRPr="001C7DBF" w:rsidRDefault="0059404D" w:rsidP="0042202B">
            <w:pPr>
              <w:rPr>
                <w:rFonts w:cstheme="minorHAnsi"/>
                <w:b/>
              </w:rPr>
            </w:pPr>
            <w:r w:rsidRPr="001C7DBF">
              <w:rPr>
                <w:rFonts w:cstheme="minorHAnsi"/>
                <w:b/>
              </w:rPr>
              <w:t xml:space="preserve">Uwaga zasadna w zakresie odwołania do rozporządzenia (UE) 2018/858 – doprecyzowano w całym projekcie odwołanie do art. 45 ust. 1 tego rozporządzenia. </w:t>
            </w:r>
          </w:p>
          <w:p w14:paraId="3EE26E81" w14:textId="2AFEAFC8" w:rsidR="0059404D" w:rsidRPr="001C7DBF" w:rsidRDefault="0059404D" w:rsidP="0042202B">
            <w:pPr>
              <w:rPr>
                <w:rFonts w:cstheme="minorHAnsi"/>
                <w:b/>
              </w:rPr>
            </w:pPr>
          </w:p>
        </w:tc>
        <w:tc>
          <w:tcPr>
            <w:tcW w:w="3686" w:type="dxa"/>
          </w:tcPr>
          <w:p w14:paraId="239283F2" w14:textId="653DB5BE" w:rsidR="00886B1B" w:rsidRPr="00D25917" w:rsidRDefault="00886B1B" w:rsidP="0042202B">
            <w:pPr>
              <w:ind w:right="766"/>
              <w:rPr>
                <w:rFonts w:cstheme="minorHAnsi"/>
                <w:b/>
                <w:color w:val="0070C0"/>
              </w:rPr>
            </w:pPr>
            <w:r w:rsidRPr="00D25917">
              <w:rPr>
                <w:rFonts w:cstheme="minorHAnsi"/>
                <w:b/>
                <w:color w:val="0070C0"/>
              </w:rPr>
              <w:t xml:space="preserve">Brak udziału przedstawiciela RCL na konferencji – pismo RCL z dnia 26.04.26 </w:t>
            </w:r>
          </w:p>
          <w:p w14:paraId="33288470" w14:textId="1ACCF703" w:rsidR="0059404D" w:rsidRPr="00D25917" w:rsidRDefault="00886B1B" w:rsidP="0042202B">
            <w:pPr>
              <w:ind w:right="766"/>
              <w:rPr>
                <w:rFonts w:cstheme="minorHAnsi"/>
                <w:b/>
                <w:color w:val="0070C0"/>
              </w:rPr>
            </w:pPr>
            <w:r w:rsidRPr="00D25917">
              <w:rPr>
                <w:rFonts w:cstheme="minorHAnsi"/>
                <w:b/>
                <w:color w:val="0070C0"/>
              </w:rPr>
              <w:t>nr RCL.DPŚI.550.20.2025</w:t>
            </w:r>
          </w:p>
          <w:p w14:paraId="442CEAB5" w14:textId="0A34F993" w:rsidR="007B6387" w:rsidRPr="00D25917" w:rsidRDefault="007B6387" w:rsidP="0042202B">
            <w:pPr>
              <w:ind w:right="766"/>
              <w:rPr>
                <w:rFonts w:cstheme="minorHAnsi"/>
                <w:b/>
                <w:color w:val="0070C0"/>
              </w:rPr>
            </w:pPr>
          </w:p>
          <w:p w14:paraId="2D572B62" w14:textId="66CF7D96" w:rsidR="007B6387" w:rsidRPr="00D25917" w:rsidRDefault="007B6387" w:rsidP="0042202B">
            <w:pPr>
              <w:ind w:right="766"/>
              <w:rPr>
                <w:rFonts w:cstheme="minorHAnsi"/>
                <w:b/>
                <w:color w:val="0070C0"/>
              </w:rPr>
            </w:pPr>
            <w:r w:rsidRPr="00D25917">
              <w:rPr>
                <w:rFonts w:cstheme="minorHAnsi"/>
                <w:b/>
                <w:color w:val="0070C0"/>
              </w:rPr>
              <w:t xml:space="preserve">Odniesienie do pisma: </w:t>
            </w:r>
          </w:p>
          <w:p w14:paraId="6DE1B7D2" w14:textId="77777777" w:rsidR="007B6387" w:rsidRPr="00D25917" w:rsidRDefault="007B6387" w:rsidP="0042202B">
            <w:pPr>
              <w:ind w:right="766"/>
              <w:rPr>
                <w:rFonts w:cstheme="minorHAnsi"/>
                <w:b/>
                <w:color w:val="0070C0"/>
              </w:rPr>
            </w:pPr>
            <w:r w:rsidRPr="00D25917">
              <w:rPr>
                <w:rFonts w:cstheme="minorHAnsi"/>
                <w:b/>
                <w:color w:val="0070C0"/>
              </w:rPr>
              <w:t>Ad. I:</w:t>
            </w:r>
          </w:p>
          <w:p w14:paraId="0755DC7E" w14:textId="01D95ED4" w:rsidR="007B6387" w:rsidRPr="00D25917" w:rsidRDefault="007B6387" w:rsidP="0042202B">
            <w:pPr>
              <w:ind w:right="766"/>
              <w:rPr>
                <w:rFonts w:cstheme="minorHAnsi"/>
                <w:b/>
                <w:color w:val="0070C0"/>
              </w:rPr>
            </w:pPr>
            <w:r w:rsidRPr="00D25917">
              <w:rPr>
                <w:rFonts w:cstheme="minorHAnsi"/>
                <w:b/>
                <w:color w:val="0070C0"/>
              </w:rPr>
              <w:t>1. art. 53b został przeniesiony do rozdziału 4b dotyczącego nadzoru rynku, który został przebudowany – nowy art. 68zk – usunięto przeprowadzanie przez TDT kontroli wykonania decyzji, o której moa w art. 68zj, a wprowadzono odesłanie do przepisów w zakresie egzekucji w administracji</w:t>
            </w:r>
            <w:r w:rsidR="001A4F42" w:rsidRPr="00D25917">
              <w:rPr>
                <w:rFonts w:cstheme="minorHAnsi"/>
                <w:b/>
                <w:color w:val="0070C0"/>
              </w:rPr>
              <w:t xml:space="preserve"> – art. 71s</w:t>
            </w:r>
            <w:r w:rsidRPr="00D25917">
              <w:rPr>
                <w:rFonts w:cstheme="minorHAnsi"/>
                <w:b/>
                <w:color w:val="0070C0"/>
              </w:rPr>
              <w:t xml:space="preserve">. </w:t>
            </w:r>
          </w:p>
          <w:p w14:paraId="23F88DE0" w14:textId="77777777" w:rsidR="00B16328" w:rsidRPr="00D25917" w:rsidRDefault="007B6387" w:rsidP="0042202B">
            <w:pPr>
              <w:ind w:right="766"/>
              <w:rPr>
                <w:rFonts w:cstheme="minorHAnsi"/>
                <w:b/>
                <w:color w:val="0070C0"/>
              </w:rPr>
            </w:pPr>
            <w:r w:rsidRPr="00D25917">
              <w:rPr>
                <w:rFonts w:cstheme="minorHAnsi"/>
                <w:b/>
                <w:color w:val="0070C0"/>
              </w:rPr>
              <w:t xml:space="preserve">2. odstąpiono od fakultatywności cofania świadectwa przez Dyrektora </w:t>
            </w:r>
            <w:r w:rsidRPr="00D25917">
              <w:rPr>
                <w:rFonts w:cstheme="minorHAnsi"/>
                <w:b/>
                <w:color w:val="0070C0"/>
              </w:rPr>
              <w:lastRenderedPageBreak/>
              <w:t>TDT, a wprowadzono 3 przesłanki dla wydania decyzji o cofnięciu dotyczące 1) wykonania procedury;</w:t>
            </w:r>
          </w:p>
          <w:p w14:paraId="03F88227" w14:textId="11678532" w:rsidR="007B6387" w:rsidRPr="00D25917" w:rsidRDefault="007B6387" w:rsidP="0042202B">
            <w:pPr>
              <w:ind w:right="766"/>
              <w:rPr>
                <w:rFonts w:cstheme="minorHAnsi"/>
                <w:b/>
                <w:color w:val="0070C0"/>
              </w:rPr>
            </w:pPr>
            <w:r w:rsidRPr="00D25917">
              <w:rPr>
                <w:rFonts w:cstheme="minorHAnsi"/>
                <w:b/>
                <w:color w:val="0070C0"/>
              </w:rPr>
              <w:t xml:space="preserve">2) wymagań stawianych diagnoście; 3) wymagań stawianych przedsiębiorcy prowadzącemu skp. </w:t>
            </w:r>
          </w:p>
          <w:p w14:paraId="6FA5C45E" w14:textId="77777777" w:rsidR="007B6387" w:rsidRPr="00D25917" w:rsidRDefault="007B6387" w:rsidP="0042202B">
            <w:pPr>
              <w:ind w:right="766"/>
              <w:rPr>
                <w:rFonts w:cstheme="minorHAnsi"/>
                <w:b/>
                <w:color w:val="0070C0"/>
              </w:rPr>
            </w:pPr>
            <w:r w:rsidRPr="00D25917">
              <w:rPr>
                <w:rFonts w:cstheme="minorHAnsi"/>
                <w:b/>
                <w:color w:val="0070C0"/>
              </w:rPr>
              <w:t>3. dokonano zmian w rozdziale 6a dotyczącym administracyjnych kar pieniężnych poprzez precyzyjne wskazanie czynów niezgodnych z przepisami i podlegających sankcjom (zmiana numeracji art. 71a-71o):</w:t>
            </w:r>
          </w:p>
          <w:p w14:paraId="456B3ED0" w14:textId="0B179847" w:rsidR="007B6387" w:rsidRPr="00D25917" w:rsidRDefault="007B6387" w:rsidP="0042202B">
            <w:pPr>
              <w:ind w:right="766"/>
              <w:rPr>
                <w:rFonts w:cstheme="minorHAnsi"/>
                <w:b/>
                <w:color w:val="0070C0"/>
              </w:rPr>
            </w:pPr>
            <w:r w:rsidRPr="00D25917">
              <w:rPr>
                <w:rFonts w:cstheme="minorHAnsi"/>
                <w:b/>
                <w:color w:val="0070C0"/>
              </w:rPr>
              <w:t>1) usunięto podwójne karanie za składanie fałszywych oświadczeń, pozostawiając jedynie odpowiedzialność karną – przykładowo art. 20 ust. 4 ustawy homologacyjnej;</w:t>
            </w:r>
          </w:p>
          <w:p w14:paraId="3E55845C" w14:textId="38E855B0" w:rsidR="007B6387" w:rsidRPr="00D25917" w:rsidRDefault="007B6387" w:rsidP="0042202B">
            <w:pPr>
              <w:ind w:right="766"/>
              <w:rPr>
                <w:rFonts w:cstheme="minorHAnsi"/>
                <w:b/>
                <w:color w:val="0070C0"/>
              </w:rPr>
            </w:pPr>
            <w:r w:rsidRPr="00D25917">
              <w:rPr>
                <w:rFonts w:cstheme="minorHAnsi"/>
                <w:b/>
                <w:color w:val="0070C0"/>
              </w:rPr>
              <w:t>2) wprowadzono odesłanie do art. 5a rozporządzenia 595/2009 (art. 71c pkt 10 i art. 71h pkt 6);</w:t>
            </w:r>
          </w:p>
          <w:p w14:paraId="71C38C3E" w14:textId="20122BB7" w:rsidR="007B6387" w:rsidRPr="00D25917" w:rsidRDefault="007B6387" w:rsidP="0042202B">
            <w:pPr>
              <w:ind w:right="766"/>
              <w:rPr>
                <w:rFonts w:cstheme="minorHAnsi"/>
                <w:b/>
                <w:color w:val="0070C0"/>
              </w:rPr>
            </w:pPr>
            <w:r w:rsidRPr="00D25917">
              <w:rPr>
                <w:rFonts w:cstheme="minorHAnsi"/>
                <w:b/>
                <w:color w:val="0070C0"/>
              </w:rPr>
              <w:lastRenderedPageBreak/>
              <w:t>3) przepis zawiera odesłanie do konkretnych przepisów (art. 71h);</w:t>
            </w:r>
          </w:p>
          <w:p w14:paraId="75E82A05" w14:textId="274202A7" w:rsidR="007B6387" w:rsidRPr="00D25917" w:rsidRDefault="007B6387" w:rsidP="0042202B">
            <w:pPr>
              <w:ind w:right="766"/>
              <w:rPr>
                <w:rFonts w:cstheme="minorHAnsi"/>
                <w:b/>
                <w:color w:val="0070C0"/>
              </w:rPr>
            </w:pPr>
            <w:r w:rsidRPr="00D25917">
              <w:rPr>
                <w:rFonts w:cstheme="minorHAnsi"/>
                <w:b/>
                <w:color w:val="0070C0"/>
              </w:rPr>
              <w:t>4) doprecyzowano przepisy objęte uwagą (art. 71k ust. 2 pkt 4).</w:t>
            </w:r>
          </w:p>
          <w:p w14:paraId="031C998B" w14:textId="77777777" w:rsidR="007B6387" w:rsidRPr="00D25917" w:rsidRDefault="007B6387" w:rsidP="0042202B">
            <w:pPr>
              <w:ind w:right="766"/>
              <w:rPr>
                <w:rFonts w:cstheme="minorHAnsi"/>
                <w:b/>
                <w:color w:val="0070C0"/>
              </w:rPr>
            </w:pPr>
          </w:p>
          <w:p w14:paraId="26D042C1" w14:textId="1E9D9ED6" w:rsidR="007B6387" w:rsidRPr="00D25917" w:rsidRDefault="007B6387" w:rsidP="0042202B">
            <w:pPr>
              <w:ind w:right="766"/>
              <w:rPr>
                <w:rFonts w:cstheme="minorHAnsi"/>
                <w:b/>
                <w:color w:val="0070C0"/>
              </w:rPr>
            </w:pPr>
            <w:r w:rsidRPr="00D25917">
              <w:rPr>
                <w:rFonts w:cstheme="minorHAnsi"/>
                <w:b/>
                <w:color w:val="0070C0"/>
              </w:rPr>
              <w:t>Ad. II:</w:t>
            </w:r>
          </w:p>
          <w:p w14:paraId="48955A0C" w14:textId="77777777" w:rsidR="007B6387" w:rsidRPr="00D25917" w:rsidRDefault="007B6387" w:rsidP="0042202B">
            <w:pPr>
              <w:ind w:right="766"/>
              <w:rPr>
                <w:rFonts w:cstheme="minorHAnsi"/>
                <w:b/>
                <w:color w:val="0070C0"/>
              </w:rPr>
            </w:pPr>
            <w:r w:rsidRPr="00D25917">
              <w:rPr>
                <w:rFonts w:cstheme="minorHAnsi"/>
                <w:b/>
                <w:color w:val="0070C0"/>
              </w:rPr>
              <w:t>1. doprecyzowano przepis w zakresie danych identyfikujących producenta i zmieniono odesłania (obecny art. 68zt ust. 1 pkt 2 lit. a, ust. 11, ust. 13 pkt 1 lit. i).</w:t>
            </w:r>
          </w:p>
          <w:p w14:paraId="24AC5FEB" w14:textId="77777777" w:rsidR="007B6387" w:rsidRPr="00D25917" w:rsidRDefault="007B6387" w:rsidP="0042202B">
            <w:pPr>
              <w:ind w:right="766"/>
              <w:rPr>
                <w:rFonts w:cstheme="minorHAnsi"/>
                <w:b/>
                <w:color w:val="0070C0"/>
              </w:rPr>
            </w:pPr>
            <w:r w:rsidRPr="00D25917">
              <w:rPr>
                <w:rFonts w:cstheme="minorHAnsi"/>
                <w:b/>
                <w:color w:val="0070C0"/>
              </w:rPr>
              <w:t>2. wprowadzono zamknięty katalog danych w zakresie protokołu ze zniszczenia (art. 68zs ust. 7).</w:t>
            </w:r>
          </w:p>
          <w:p w14:paraId="03E880E2" w14:textId="77777777" w:rsidR="007B6387" w:rsidRPr="00D25917" w:rsidRDefault="007B6387" w:rsidP="0042202B">
            <w:pPr>
              <w:ind w:right="766"/>
              <w:rPr>
                <w:rFonts w:cstheme="minorHAnsi"/>
                <w:b/>
                <w:color w:val="0070C0"/>
              </w:rPr>
            </w:pPr>
            <w:r w:rsidRPr="00D25917">
              <w:rPr>
                <w:rFonts w:cstheme="minorHAnsi"/>
                <w:b/>
                <w:color w:val="0070C0"/>
              </w:rPr>
              <w:t>3. dokonano sprawdzenia odesłań.</w:t>
            </w:r>
          </w:p>
          <w:p w14:paraId="09A50EA9" w14:textId="2339842F" w:rsidR="007B6387" w:rsidRPr="00D25917" w:rsidRDefault="007B6387" w:rsidP="0042202B">
            <w:pPr>
              <w:ind w:right="766"/>
              <w:rPr>
                <w:rFonts w:cstheme="minorHAnsi"/>
                <w:b/>
                <w:color w:val="0070C0"/>
              </w:rPr>
            </w:pPr>
            <w:r w:rsidRPr="00D25917">
              <w:rPr>
                <w:rFonts w:cstheme="minorHAnsi"/>
                <w:b/>
                <w:color w:val="0070C0"/>
              </w:rPr>
              <w:t>4. wprowadzono zmiany i konkretne odesłania do przepisów (obecny art. 71a ust. 2 i 9, art. 71d i art. 71i).</w:t>
            </w:r>
          </w:p>
          <w:p w14:paraId="1C30117C" w14:textId="031AABA7" w:rsidR="007B6387" w:rsidRPr="00D25917" w:rsidRDefault="007B6387" w:rsidP="0042202B">
            <w:pPr>
              <w:ind w:right="766"/>
              <w:rPr>
                <w:rFonts w:cstheme="minorHAnsi"/>
                <w:b/>
                <w:color w:val="0070C0"/>
              </w:rPr>
            </w:pPr>
            <w:r w:rsidRPr="00D25917">
              <w:rPr>
                <w:rFonts w:cstheme="minorHAnsi"/>
                <w:b/>
                <w:color w:val="0070C0"/>
              </w:rPr>
              <w:t xml:space="preserve">5. wprowadzono konkretne sankcje w obszarze wprowadzania do obrotu rowerów, wózków </w:t>
            </w:r>
            <w:r w:rsidRPr="00D25917">
              <w:rPr>
                <w:rFonts w:cstheme="minorHAnsi"/>
                <w:b/>
                <w:color w:val="0070C0"/>
              </w:rPr>
              <w:lastRenderedPageBreak/>
              <w:t>rowerowych, hulajnóg elektrycznych oraz urządzeń transportu osobistego.</w:t>
            </w:r>
          </w:p>
          <w:p w14:paraId="3137CC1B" w14:textId="449E089E" w:rsidR="00864F5C" w:rsidRPr="00D25917" w:rsidRDefault="00864F5C" w:rsidP="0042202B">
            <w:pPr>
              <w:ind w:right="766"/>
              <w:rPr>
                <w:rFonts w:cstheme="minorHAnsi"/>
                <w:b/>
                <w:color w:val="0070C0"/>
              </w:rPr>
            </w:pPr>
          </w:p>
          <w:p w14:paraId="7DBD79F3" w14:textId="5A5AEC91" w:rsidR="00864F5C" w:rsidRPr="00D25917" w:rsidRDefault="00864F5C" w:rsidP="0042202B">
            <w:pPr>
              <w:ind w:right="766"/>
              <w:rPr>
                <w:rFonts w:cstheme="minorHAnsi"/>
                <w:b/>
                <w:color w:val="0070C0"/>
                <w:u w:val="single"/>
              </w:rPr>
            </w:pPr>
            <w:r w:rsidRPr="00D25917">
              <w:rPr>
                <w:rFonts w:cstheme="minorHAnsi"/>
                <w:b/>
                <w:color w:val="0070C0"/>
                <w:u w:val="single"/>
              </w:rPr>
              <w:t>Odniesienie do uwag RCL w ramach korespondencji roboczej:</w:t>
            </w:r>
          </w:p>
          <w:p w14:paraId="4111DE86" w14:textId="6549A486" w:rsidR="007B6387" w:rsidRPr="00D25917" w:rsidRDefault="007B6387" w:rsidP="0042202B">
            <w:pPr>
              <w:ind w:right="766"/>
              <w:rPr>
                <w:rFonts w:cstheme="minorHAnsi"/>
                <w:b/>
                <w:color w:val="0070C0"/>
              </w:rPr>
            </w:pPr>
          </w:p>
          <w:p w14:paraId="67E5E4B3" w14:textId="51FC1B16" w:rsidR="00864F5C" w:rsidRPr="00D25917" w:rsidRDefault="002D75D0" w:rsidP="002D75D0">
            <w:pPr>
              <w:ind w:right="766"/>
              <w:rPr>
                <w:rFonts w:cstheme="minorHAnsi"/>
                <w:b/>
                <w:color w:val="0070C0"/>
                <w:u w:val="single"/>
              </w:rPr>
            </w:pPr>
            <w:r w:rsidRPr="00D25917">
              <w:rPr>
                <w:rFonts w:cstheme="minorHAnsi"/>
                <w:b/>
                <w:color w:val="0070C0"/>
                <w:u w:val="single"/>
              </w:rPr>
              <w:t xml:space="preserve">1. </w:t>
            </w:r>
            <w:r w:rsidR="00864F5C" w:rsidRPr="00D25917">
              <w:rPr>
                <w:rFonts w:cstheme="minorHAnsi"/>
                <w:b/>
                <w:color w:val="0070C0"/>
                <w:u w:val="single"/>
              </w:rPr>
              <w:t xml:space="preserve">W art. 1 pkt 24 nowej wersji projektu w przepisach o administracyjnych karach pieniężnych i w rozdziale o takim tytule został dodany art. 71s dotyczący stosowania trybu określonego w ustawie z dnia 17 czerwca 1966 r. o postępowaniu egzekucyjnym w administracji. Artykuł ten w odniesieniu do opłat, o których mowa  w art. 68zd ust. 11, art. 68ze ust. 10, art. 68zp ust. 3 i 5, art. 68zs ust. 12, art. 68zw ust. 3 pkt 1, art. 70 ust. 8, art. 71 ust. 8, oraz decyzji o której mowa w art. 68zj ust. 1, art. 68zk ust. 6 i 8 i art. 68zw ust. 3 pkt 2, nie powinien być umiejscowiony </w:t>
            </w:r>
            <w:r w:rsidR="00864F5C" w:rsidRPr="00D25917">
              <w:rPr>
                <w:rFonts w:cstheme="minorHAnsi"/>
                <w:b/>
                <w:color w:val="0070C0"/>
                <w:u w:val="single"/>
              </w:rPr>
              <w:lastRenderedPageBreak/>
              <w:t>w przepisach o administracyjnych karach pieniężnych. Dlatego też należy dokonać odpowiedniej zmiany w projekcie ustawy.</w:t>
            </w:r>
          </w:p>
          <w:p w14:paraId="4FA7F6EE" w14:textId="79B8DD6D" w:rsidR="002D75D0" w:rsidRPr="00D25917" w:rsidRDefault="002D75D0" w:rsidP="002D75D0">
            <w:pPr>
              <w:ind w:right="766"/>
              <w:rPr>
                <w:rFonts w:cstheme="minorHAnsi"/>
                <w:b/>
                <w:color w:val="0070C0"/>
                <w:u w:val="single"/>
              </w:rPr>
            </w:pPr>
          </w:p>
          <w:p w14:paraId="44139E0D" w14:textId="7AB7D326" w:rsidR="002D75D0" w:rsidRPr="00D25917" w:rsidRDefault="002D75D0" w:rsidP="002D75D0">
            <w:pPr>
              <w:ind w:right="766"/>
              <w:rPr>
                <w:rFonts w:cstheme="minorHAnsi"/>
                <w:b/>
                <w:color w:val="0070C0"/>
                <w:u w:val="single"/>
              </w:rPr>
            </w:pPr>
            <w:r w:rsidRPr="00D25917">
              <w:rPr>
                <w:rFonts w:cstheme="minorHAnsi"/>
                <w:b/>
                <w:color w:val="0070C0"/>
                <w:u w:val="single"/>
              </w:rPr>
              <w:t>Dokonano zmian w projekcie – art. 68zzb, art. 70 ust. 11 i art. 71 ust. 10 oraz art. 71s.</w:t>
            </w:r>
          </w:p>
          <w:p w14:paraId="731600FD" w14:textId="77777777" w:rsidR="00B16328" w:rsidRPr="00D25917" w:rsidRDefault="00B16328" w:rsidP="0042202B">
            <w:pPr>
              <w:ind w:right="766"/>
              <w:rPr>
                <w:rFonts w:cstheme="minorHAnsi"/>
                <w:b/>
                <w:color w:val="0070C0"/>
                <w:u w:val="single"/>
              </w:rPr>
            </w:pPr>
          </w:p>
          <w:p w14:paraId="508F3B55" w14:textId="77777777" w:rsidR="0052330A" w:rsidRPr="00D25917" w:rsidRDefault="00864F5C" w:rsidP="0042202B">
            <w:pPr>
              <w:ind w:right="766"/>
              <w:rPr>
                <w:rFonts w:cstheme="minorHAnsi"/>
                <w:b/>
                <w:color w:val="0070C0"/>
                <w:u w:val="single"/>
              </w:rPr>
            </w:pPr>
            <w:r w:rsidRPr="00D25917">
              <w:rPr>
                <w:rFonts w:cstheme="minorHAnsi"/>
                <w:b/>
                <w:color w:val="0070C0"/>
                <w:u w:val="single"/>
              </w:rPr>
              <w:t>2.</w:t>
            </w:r>
            <w:r w:rsidR="00B16328" w:rsidRPr="00D25917">
              <w:rPr>
                <w:rFonts w:cstheme="minorHAnsi"/>
                <w:b/>
                <w:color w:val="0070C0"/>
                <w:u w:val="single"/>
              </w:rPr>
              <w:t xml:space="preserve"> </w:t>
            </w:r>
            <w:r w:rsidRPr="00D25917">
              <w:rPr>
                <w:rFonts w:cstheme="minorHAnsi"/>
                <w:b/>
                <w:color w:val="0070C0"/>
                <w:u w:val="single"/>
              </w:rPr>
              <w:t xml:space="preserve">W nowym brzmieniu art. 68za (art. 1 pkt 21 nowej wersji projektu) ust. 1, który określa uprawnienia dyrektora TDT w toku kontroli jako organu nadzoru rynku, powinien być ujęty w katalogu zamkniętym – należy w nim skreślić wyrazy „w szczególności”. </w:t>
            </w:r>
          </w:p>
          <w:p w14:paraId="7983A7C0" w14:textId="253E67FD" w:rsidR="00864F5C" w:rsidRPr="00D25917" w:rsidRDefault="00864F5C" w:rsidP="0042202B">
            <w:pPr>
              <w:ind w:right="766"/>
              <w:rPr>
                <w:rFonts w:cstheme="minorHAnsi"/>
                <w:b/>
                <w:color w:val="0070C0"/>
                <w:u w:val="single"/>
              </w:rPr>
            </w:pPr>
            <w:r w:rsidRPr="00D25917">
              <w:rPr>
                <w:rFonts w:cstheme="minorHAnsi"/>
                <w:b/>
                <w:color w:val="0070C0"/>
                <w:u w:val="single"/>
              </w:rPr>
              <w:t xml:space="preserve">Należy mieć na uwadze, że precyzyjność tego przepisu ma istotne znaczenie, gdyż zgodnie ze dodawanym art. 71j (art. 1 pkt 74 projektu) uniemożliwianie rozpoczęcia lub utrudnianie Dyrektorowi TDT jako organowi nadzoru </w:t>
            </w:r>
            <w:r w:rsidRPr="00D25917">
              <w:rPr>
                <w:rFonts w:cstheme="minorHAnsi"/>
                <w:b/>
                <w:color w:val="0070C0"/>
                <w:u w:val="single"/>
              </w:rPr>
              <w:lastRenderedPageBreak/>
              <w:t xml:space="preserve">rynku prowadzenia czynności, o których mowa art. 68za, lub nierealizowanie obowiązków lub żądań, o których mowa w tych przepisach, jest zagrożone administracyjną karą pieniężną. Dlatego też w przepisie tym należy określić enumeratywnie uprawnienia dyrektora TDT w toku kontroli jako organu nadzoru rynku. W powyższym zakresie RCL podtrzymuje uwagę nr I.3 ww. pisma (lp. 18 zestawienia uwag), że proponowane w art. 1 pkt 24 nowej wersji projektu przepisy o administracyjnych karach pieniężnych muszą być jasne i precyzyjne. Należy wskazać, że odpowiedzialność karna i administracyjna musi być oparta co najmniej na zasadzie określoności czynów zabronionych pod groźbą kary. Reguła ta, wskazana w art. 42 Konstytucji RP, </w:t>
            </w:r>
            <w:r w:rsidRPr="00D25917">
              <w:rPr>
                <w:rFonts w:cstheme="minorHAnsi"/>
                <w:b/>
                <w:color w:val="0070C0"/>
                <w:u w:val="single"/>
              </w:rPr>
              <w:lastRenderedPageBreak/>
              <w:t xml:space="preserve">nakazuje ustawodawcy takie określenie czynu zabronionego (jego znamion), aby zarówno dla adresata normy prawnej, jak i organów stosujących prawo i dokonujących „odkodowania” treści regulacji w drodze wykładni normy, nie budziło wątpliwości to, czy określone zachowanie in concreto wypełnia te znamiona. </w:t>
            </w:r>
          </w:p>
          <w:p w14:paraId="662813B3" w14:textId="612FE387" w:rsidR="0052330A" w:rsidRPr="00D25917" w:rsidRDefault="0052330A" w:rsidP="0042202B">
            <w:pPr>
              <w:ind w:right="766"/>
              <w:rPr>
                <w:rFonts w:cstheme="minorHAnsi"/>
                <w:b/>
                <w:color w:val="0070C0"/>
                <w:u w:val="single"/>
              </w:rPr>
            </w:pPr>
          </w:p>
          <w:p w14:paraId="3A821E29" w14:textId="621D05D2" w:rsidR="0052330A" w:rsidRPr="00D25917" w:rsidRDefault="0052330A" w:rsidP="0042202B">
            <w:pPr>
              <w:ind w:right="766"/>
              <w:rPr>
                <w:rFonts w:cstheme="minorHAnsi"/>
                <w:b/>
                <w:color w:val="0070C0"/>
                <w:u w:val="single"/>
              </w:rPr>
            </w:pPr>
            <w:r w:rsidRPr="00D25917">
              <w:rPr>
                <w:rFonts w:cstheme="minorHAnsi"/>
                <w:b/>
                <w:color w:val="0070C0"/>
                <w:u w:val="single"/>
              </w:rPr>
              <w:t xml:space="preserve">Wykreślono „w szczególności”. Nie ma potrzeby uzupełnienia art. 68za ust. 1. </w:t>
            </w:r>
          </w:p>
          <w:p w14:paraId="55D9AF18" w14:textId="1B1F0C27" w:rsidR="0052330A" w:rsidRPr="00D25917" w:rsidRDefault="0052330A" w:rsidP="0042202B">
            <w:pPr>
              <w:ind w:right="766"/>
              <w:rPr>
                <w:rFonts w:cstheme="minorHAnsi"/>
                <w:b/>
                <w:color w:val="0070C0"/>
                <w:u w:val="single"/>
              </w:rPr>
            </w:pPr>
          </w:p>
          <w:p w14:paraId="1122053E" w14:textId="77777777" w:rsidR="0052330A" w:rsidRPr="00D25917" w:rsidRDefault="0052330A" w:rsidP="0042202B">
            <w:pPr>
              <w:ind w:right="766"/>
              <w:rPr>
                <w:rFonts w:cstheme="minorHAnsi"/>
                <w:b/>
                <w:color w:val="0070C0"/>
                <w:u w:val="single"/>
              </w:rPr>
            </w:pPr>
          </w:p>
          <w:p w14:paraId="4AC77333" w14:textId="65A2FF08" w:rsidR="00864F5C" w:rsidRPr="00D25917" w:rsidRDefault="00864F5C" w:rsidP="0042202B">
            <w:pPr>
              <w:ind w:right="766"/>
              <w:rPr>
                <w:rFonts w:cstheme="minorHAnsi"/>
                <w:b/>
                <w:color w:val="0070C0"/>
                <w:u w:val="single"/>
              </w:rPr>
            </w:pPr>
            <w:r w:rsidRPr="00D25917">
              <w:rPr>
                <w:rFonts w:cstheme="minorHAnsi"/>
                <w:b/>
                <w:color w:val="0070C0"/>
                <w:u w:val="single"/>
              </w:rPr>
              <w:t>3.</w:t>
            </w:r>
            <w:r w:rsidR="00B16328" w:rsidRPr="00D25917">
              <w:rPr>
                <w:rFonts w:cstheme="minorHAnsi"/>
                <w:b/>
                <w:color w:val="0070C0"/>
                <w:u w:val="single"/>
              </w:rPr>
              <w:t xml:space="preserve"> </w:t>
            </w:r>
            <w:r w:rsidRPr="00D25917">
              <w:rPr>
                <w:rFonts w:cstheme="minorHAnsi"/>
                <w:b/>
                <w:color w:val="0070C0"/>
                <w:u w:val="single"/>
              </w:rPr>
              <w:t xml:space="preserve">W art. 1 pkt 21 nowej wersji projektu zgodnie z proponowanym brzmieniem art. 68m ust. 5 „Dyrektor TDT cofa, w drodze decyzji administracyjnej, świadectwo krajowego indywidualnego dopuszczenia pojazdu </w:t>
            </w:r>
            <w:r w:rsidRPr="00D25917">
              <w:rPr>
                <w:rFonts w:cstheme="minorHAnsi"/>
                <w:b/>
                <w:color w:val="0070C0"/>
                <w:u w:val="single"/>
              </w:rPr>
              <w:lastRenderedPageBreak/>
              <w:t>niebędącego nowym pojazdem w przypadku stwierdzenia w ramach przeprowadzonej kontroli, o której mowa w ust. 2:</w:t>
            </w:r>
          </w:p>
          <w:p w14:paraId="609B4E82" w14:textId="0AFB6F43" w:rsidR="00864F5C" w:rsidRPr="00D25917" w:rsidRDefault="00864F5C" w:rsidP="0042202B">
            <w:pPr>
              <w:ind w:right="766"/>
              <w:rPr>
                <w:rFonts w:cstheme="minorHAnsi"/>
                <w:b/>
                <w:color w:val="0070C0"/>
                <w:u w:val="single"/>
              </w:rPr>
            </w:pPr>
            <w:r w:rsidRPr="00D25917">
              <w:rPr>
                <w:rFonts w:cstheme="minorHAnsi"/>
                <w:b/>
                <w:color w:val="0070C0"/>
                <w:u w:val="single"/>
              </w:rPr>
              <w:t>1)nieprawidłowości w przeprowadzeniu procedury krajowego indywidualnego dopuszczenia pojazdu niebędącego nowym pojazdem, w wyniku której wydano to świadectwo, związane z bezpieczeństwem użytkowania pojazdu oraz ochroną środowiska;</w:t>
            </w:r>
          </w:p>
          <w:p w14:paraId="411FA90B" w14:textId="6A459895" w:rsidR="00864F5C" w:rsidRPr="00D25917" w:rsidRDefault="00864F5C" w:rsidP="0042202B">
            <w:pPr>
              <w:ind w:right="766"/>
              <w:rPr>
                <w:rFonts w:cstheme="minorHAnsi"/>
                <w:b/>
                <w:color w:val="0070C0"/>
                <w:u w:val="single"/>
              </w:rPr>
            </w:pPr>
            <w:r w:rsidRPr="00D25917">
              <w:rPr>
                <w:rFonts w:cstheme="minorHAnsi"/>
                <w:b/>
                <w:color w:val="0070C0"/>
                <w:u w:val="single"/>
              </w:rPr>
              <w:t>2)</w:t>
            </w:r>
            <w:r w:rsidR="00B16328" w:rsidRPr="00D25917">
              <w:rPr>
                <w:rFonts w:cstheme="minorHAnsi"/>
                <w:b/>
                <w:color w:val="0070C0"/>
                <w:u w:val="single"/>
              </w:rPr>
              <w:t xml:space="preserve"> </w:t>
            </w:r>
            <w:r w:rsidRPr="00D25917">
              <w:rPr>
                <w:rFonts w:cstheme="minorHAnsi"/>
                <w:b/>
                <w:color w:val="0070C0"/>
                <w:u w:val="single"/>
              </w:rPr>
              <w:t>wydania świadectwa krajowego indywidualnego dopuszczenia pojazdu niebędącego nowym pojazdem przez uprawnionego diagnostę nieposiadającego ważnego zaświadczenia kwalifikacyjnego, o którym mowa w art. 68g ust. 1;</w:t>
            </w:r>
          </w:p>
          <w:p w14:paraId="76A4E056" w14:textId="3FB702F3" w:rsidR="00864F5C" w:rsidRPr="00D25917" w:rsidRDefault="00864F5C" w:rsidP="0042202B">
            <w:pPr>
              <w:ind w:right="766"/>
              <w:rPr>
                <w:rFonts w:cstheme="minorHAnsi"/>
                <w:b/>
                <w:color w:val="0070C0"/>
                <w:u w:val="single"/>
              </w:rPr>
            </w:pPr>
            <w:r w:rsidRPr="00D25917">
              <w:rPr>
                <w:rFonts w:cstheme="minorHAnsi"/>
                <w:b/>
                <w:color w:val="0070C0"/>
                <w:u w:val="single"/>
              </w:rPr>
              <w:t>3)</w:t>
            </w:r>
            <w:r w:rsidR="00B16328" w:rsidRPr="00D25917">
              <w:rPr>
                <w:rFonts w:cstheme="minorHAnsi"/>
                <w:b/>
                <w:color w:val="0070C0"/>
                <w:u w:val="single"/>
              </w:rPr>
              <w:t xml:space="preserve"> </w:t>
            </w:r>
            <w:r w:rsidRPr="00D25917">
              <w:rPr>
                <w:rFonts w:cstheme="minorHAnsi"/>
                <w:b/>
                <w:color w:val="0070C0"/>
                <w:u w:val="single"/>
              </w:rPr>
              <w:t xml:space="preserve">wydania świadectwa krajowego indywidualnego dopuszczenia pojazdu niebędącego nowym </w:t>
            </w:r>
            <w:r w:rsidRPr="00D25917">
              <w:rPr>
                <w:rFonts w:cstheme="minorHAnsi"/>
                <w:b/>
                <w:color w:val="0070C0"/>
                <w:u w:val="single"/>
              </w:rPr>
              <w:lastRenderedPageBreak/>
              <w:t>pojazdem u przedsiębiorcy nieposiadającego ważnego uprawnienia do realizacji procedury krajowego indywidualnego dopuszczenia pojazdu niebędącego nowym pojazdem, o którym mowa w art. 68g ust. 1.”.</w:t>
            </w:r>
          </w:p>
          <w:p w14:paraId="2E3F3F2D" w14:textId="77777777" w:rsidR="00864F5C" w:rsidRPr="00D25917" w:rsidRDefault="00864F5C" w:rsidP="0042202B">
            <w:pPr>
              <w:ind w:right="766"/>
              <w:rPr>
                <w:rFonts w:cstheme="minorHAnsi"/>
                <w:b/>
                <w:color w:val="0070C0"/>
                <w:u w:val="single"/>
              </w:rPr>
            </w:pPr>
            <w:r w:rsidRPr="00D25917">
              <w:rPr>
                <w:rFonts w:cstheme="minorHAnsi"/>
                <w:b/>
                <w:color w:val="0070C0"/>
                <w:u w:val="single"/>
              </w:rPr>
              <w:t xml:space="preserve">W przepisie tym w pkt 2 należy doprecyzować odesłanie do zaświadczenia kwalifikacyjnego, o którym mowa w art. 68g ust. 1 pkt 1, natomiast w pkt 3 do uprawnienia do realizacji procedury krajowego indywidualnego dopuszczenia pojazdu niebędącego nowym pojazdem, o którym mowa w art. 68g ust. 1 pkt 2 lit. b. </w:t>
            </w:r>
          </w:p>
          <w:p w14:paraId="4B67659B" w14:textId="0E754440" w:rsidR="00864F5C" w:rsidRPr="00D25917" w:rsidRDefault="00864F5C" w:rsidP="0042202B">
            <w:pPr>
              <w:ind w:right="766"/>
              <w:rPr>
                <w:rFonts w:cstheme="minorHAnsi"/>
                <w:b/>
                <w:color w:val="0070C0"/>
                <w:u w:val="single"/>
              </w:rPr>
            </w:pPr>
            <w:r w:rsidRPr="00D25917">
              <w:rPr>
                <w:rFonts w:cstheme="minorHAnsi"/>
                <w:b/>
                <w:color w:val="0070C0"/>
                <w:u w:val="single"/>
              </w:rPr>
              <w:t xml:space="preserve">W związku z tym, że w art. 68g ust. 1 pkt 2 lit. a projektu został określony wymóg realizacji procedury krajowego indywidualnego dopuszczenia pojazdu niebędącego nowym </w:t>
            </w:r>
            <w:r w:rsidRPr="00D25917">
              <w:rPr>
                <w:rFonts w:cstheme="minorHAnsi"/>
                <w:b/>
                <w:color w:val="0070C0"/>
                <w:u w:val="single"/>
              </w:rPr>
              <w:lastRenderedPageBreak/>
              <w:t xml:space="preserve">pojazdem przez uprawnionego diagnostę, który jest zatrudniony przez przedsiębiorcę wykonującego działalność gospodarczą w zakresie odpowiednio stacji kontroli pojazdów, o której mowa w art. 83 ust. 1 pkt 1 lub 2 ustawy z dnia 20 czerwca 1997 r. – Prawo o ruchu drogowym, w opinii RCL przynajmniej wyjaśnienia wymaga, czy naruszenie ww. przepisu nie powinno być również podstawą cofnięcia przez dyrektora TDT, w drodze decyzji administracyjnej, świadectwa krajowego indywidualnego dopuszczenia pojazdu niebędącego nowym pojazdem. </w:t>
            </w:r>
          </w:p>
          <w:p w14:paraId="43C80180" w14:textId="6AEE5274" w:rsidR="0052330A" w:rsidRPr="00D25917" w:rsidRDefault="0052330A" w:rsidP="0042202B">
            <w:pPr>
              <w:ind w:right="766"/>
              <w:rPr>
                <w:rFonts w:cstheme="minorHAnsi"/>
                <w:b/>
                <w:color w:val="0070C0"/>
                <w:u w:val="single"/>
              </w:rPr>
            </w:pPr>
          </w:p>
          <w:p w14:paraId="53DE2CDE" w14:textId="614E2D9C" w:rsidR="0052330A" w:rsidRPr="00D25917" w:rsidRDefault="0052330A" w:rsidP="0042202B">
            <w:pPr>
              <w:ind w:right="766"/>
              <w:rPr>
                <w:rFonts w:cstheme="minorHAnsi"/>
                <w:b/>
                <w:color w:val="0070C0"/>
                <w:u w:val="single"/>
              </w:rPr>
            </w:pPr>
            <w:r w:rsidRPr="00D25917">
              <w:rPr>
                <w:rFonts w:cstheme="minorHAnsi"/>
                <w:b/>
                <w:color w:val="0070C0"/>
                <w:u w:val="single"/>
              </w:rPr>
              <w:t xml:space="preserve">Uzupełniono brzmienie art. 68m ust. 5 zgodnie z uwagą. </w:t>
            </w:r>
          </w:p>
          <w:p w14:paraId="288C6E88" w14:textId="77777777" w:rsidR="0052330A" w:rsidRPr="00D25917" w:rsidRDefault="0052330A" w:rsidP="0042202B">
            <w:pPr>
              <w:ind w:right="766"/>
              <w:rPr>
                <w:rFonts w:cstheme="minorHAnsi"/>
                <w:b/>
                <w:color w:val="0070C0"/>
                <w:u w:val="single"/>
              </w:rPr>
            </w:pPr>
          </w:p>
          <w:p w14:paraId="58B1D75B" w14:textId="49D1A519" w:rsidR="00864F5C" w:rsidRPr="00D25917" w:rsidRDefault="00864F5C" w:rsidP="0042202B">
            <w:pPr>
              <w:ind w:right="766"/>
              <w:rPr>
                <w:rFonts w:cstheme="minorHAnsi"/>
                <w:b/>
                <w:color w:val="0070C0"/>
                <w:u w:val="single"/>
              </w:rPr>
            </w:pPr>
            <w:r w:rsidRPr="00D25917">
              <w:rPr>
                <w:rFonts w:cstheme="minorHAnsi"/>
                <w:b/>
                <w:color w:val="0070C0"/>
                <w:u w:val="single"/>
              </w:rPr>
              <w:lastRenderedPageBreak/>
              <w:t>4.</w:t>
            </w:r>
            <w:r w:rsidR="00B16328" w:rsidRPr="00D25917">
              <w:rPr>
                <w:rFonts w:cstheme="minorHAnsi"/>
                <w:b/>
                <w:color w:val="0070C0"/>
                <w:u w:val="single"/>
              </w:rPr>
              <w:t xml:space="preserve"> </w:t>
            </w:r>
            <w:r w:rsidRPr="00D25917">
              <w:rPr>
                <w:rFonts w:cstheme="minorHAnsi"/>
                <w:b/>
                <w:color w:val="0070C0"/>
                <w:u w:val="single"/>
              </w:rPr>
              <w:t>W art. 1 pkt 24 nowej wersji projektu w przepisach o administracyjnych karach pieniężnych:</w:t>
            </w:r>
          </w:p>
          <w:p w14:paraId="399F950D" w14:textId="0F389CCE" w:rsidR="00864F5C" w:rsidRPr="00D25917" w:rsidRDefault="00864F5C" w:rsidP="0042202B">
            <w:pPr>
              <w:ind w:right="766"/>
              <w:rPr>
                <w:rFonts w:cstheme="minorHAnsi"/>
                <w:b/>
                <w:color w:val="0070C0"/>
                <w:u w:val="single"/>
              </w:rPr>
            </w:pPr>
            <w:r w:rsidRPr="00D25917">
              <w:rPr>
                <w:rFonts w:cstheme="minorHAnsi"/>
                <w:b/>
                <w:color w:val="0070C0"/>
                <w:u w:val="single"/>
              </w:rPr>
              <w:t>1)</w:t>
            </w:r>
            <w:r w:rsidR="00B16328" w:rsidRPr="00D25917">
              <w:rPr>
                <w:rFonts w:cstheme="minorHAnsi"/>
                <w:b/>
                <w:color w:val="0070C0"/>
                <w:u w:val="single"/>
              </w:rPr>
              <w:t xml:space="preserve"> </w:t>
            </w:r>
            <w:r w:rsidRPr="00D25917">
              <w:rPr>
                <w:rFonts w:cstheme="minorHAnsi"/>
                <w:b/>
                <w:color w:val="0070C0"/>
                <w:u w:val="single"/>
              </w:rPr>
              <w:t xml:space="preserve">zgodnie z projektowanym art. 71a ust. 8   podmiot gospodarczy, który narusza zakaz, o którym mowa w art. 14 ust. 12, podlega administracyjnej karze pieniężnej w wysokości równoważnej ceny sprzedaży pojazdu, przedmiotu wyposażenia lub części, roweru, wózka rowerowego, hulajnogi elektrycznej oraz urządzenia transportu osobistego, użytkownikowi końcowemu z faktury VAT lub rachunku; należy jednak zauważyć, że zakaz określony w art. 14 ust. 12 nie dotyczy pojazdu przedmiotu wyposażenia lub części, określa zaś zakaz dla podmiotów gospodarczych projektowania, budowy i montażu roweru, wózka rowerowego, hulajnogi </w:t>
            </w:r>
            <w:r w:rsidRPr="00D25917">
              <w:rPr>
                <w:rFonts w:cstheme="minorHAnsi"/>
                <w:b/>
                <w:color w:val="0070C0"/>
                <w:u w:val="single"/>
              </w:rPr>
              <w:lastRenderedPageBreak/>
              <w:t>elektrycznej oraz urządzenia transportu osobistego wyposażonych w urządzenia manipulujące lub strategie manipulacyjne powodujące, że rower, wózek rowerowy, hulajnoga elektryczna oraz urządzenie transportu osobistego niezgodny z przepisami wydanymi na podstawie art. 66 ust. 5 ustawy z dnia 20 czerwca 1997 r. – Prawo o ruchu drogowym wydaje się zgodny z tymi przepisami (pkt 1); w związku z tym należy dokonać odpowiedniej zmiany w tym przepisie;</w:t>
            </w:r>
          </w:p>
          <w:p w14:paraId="09E44A3B" w14:textId="1600602D" w:rsidR="0052330A" w:rsidRPr="00D25917" w:rsidRDefault="0052330A" w:rsidP="0042202B">
            <w:pPr>
              <w:ind w:right="766"/>
              <w:rPr>
                <w:rFonts w:cstheme="minorHAnsi"/>
                <w:b/>
                <w:color w:val="0070C0"/>
                <w:u w:val="single"/>
              </w:rPr>
            </w:pPr>
          </w:p>
          <w:p w14:paraId="18A321AF" w14:textId="09A8F750" w:rsidR="0052330A" w:rsidRPr="00D25917" w:rsidRDefault="0052330A" w:rsidP="0042202B">
            <w:pPr>
              <w:ind w:right="766"/>
              <w:rPr>
                <w:rFonts w:cstheme="minorHAnsi"/>
                <w:b/>
                <w:color w:val="0070C0"/>
                <w:u w:val="single"/>
              </w:rPr>
            </w:pPr>
            <w:r w:rsidRPr="00D25917">
              <w:rPr>
                <w:rFonts w:cstheme="minorHAnsi"/>
                <w:b/>
                <w:color w:val="0070C0"/>
                <w:u w:val="single"/>
              </w:rPr>
              <w:t xml:space="preserve">W projekcie nie ma przepisu art. 71a ust. 8 objętego uwagą. </w:t>
            </w:r>
          </w:p>
          <w:p w14:paraId="2731821F" w14:textId="31599CDB" w:rsidR="0052330A" w:rsidRPr="00D25917" w:rsidRDefault="0052330A" w:rsidP="0042202B">
            <w:pPr>
              <w:ind w:right="766"/>
              <w:rPr>
                <w:rFonts w:cstheme="minorHAnsi"/>
                <w:b/>
                <w:color w:val="0070C0"/>
                <w:u w:val="single"/>
              </w:rPr>
            </w:pPr>
          </w:p>
          <w:p w14:paraId="55E33CDF" w14:textId="77777777" w:rsidR="0052330A" w:rsidRPr="00D25917" w:rsidRDefault="0052330A" w:rsidP="0042202B">
            <w:pPr>
              <w:ind w:right="766"/>
              <w:rPr>
                <w:rFonts w:cstheme="minorHAnsi"/>
                <w:b/>
                <w:color w:val="0070C0"/>
                <w:u w:val="single"/>
              </w:rPr>
            </w:pPr>
          </w:p>
          <w:p w14:paraId="3A25E924" w14:textId="32247761" w:rsidR="00864F5C" w:rsidRPr="00D25917" w:rsidRDefault="00864F5C" w:rsidP="0042202B">
            <w:pPr>
              <w:ind w:right="766"/>
              <w:rPr>
                <w:rFonts w:cstheme="minorHAnsi"/>
                <w:b/>
                <w:color w:val="0070C0"/>
                <w:u w:val="single"/>
              </w:rPr>
            </w:pPr>
            <w:r w:rsidRPr="00D25917">
              <w:rPr>
                <w:rFonts w:cstheme="minorHAnsi"/>
                <w:b/>
                <w:color w:val="0070C0"/>
                <w:u w:val="single"/>
              </w:rPr>
              <w:t>2)</w:t>
            </w:r>
            <w:r w:rsidR="00B16328" w:rsidRPr="00D25917">
              <w:rPr>
                <w:rFonts w:cstheme="minorHAnsi"/>
                <w:b/>
                <w:color w:val="0070C0"/>
                <w:u w:val="single"/>
              </w:rPr>
              <w:t xml:space="preserve"> </w:t>
            </w:r>
            <w:r w:rsidRPr="00D25917">
              <w:rPr>
                <w:rFonts w:cstheme="minorHAnsi"/>
                <w:b/>
                <w:color w:val="0070C0"/>
                <w:u w:val="single"/>
              </w:rPr>
              <w:t xml:space="preserve">zgodnie z projektowanym art. 71b pkt 2 podmiot gospodarczy, który nie wykonał decyzji, o której mowa w art. 68zj ust. 1, w </w:t>
            </w:r>
            <w:r w:rsidRPr="00D25917">
              <w:rPr>
                <w:rFonts w:cstheme="minorHAnsi"/>
                <w:b/>
                <w:color w:val="0070C0"/>
                <w:u w:val="single"/>
              </w:rPr>
              <w:lastRenderedPageBreak/>
              <w:t xml:space="preserve">zakresie, o którym mowa w art. 68zk ust. 1 pkt 2, podlega administracyjnej karze pieniężnej w wysokości równoważnej ceny sprzedaży objętego decyzją pojazdu, przedmiotu wyposażenia lub części, roweru, wózka rowerowego, hulajnogi elektrycznej oraz urządzenia transportu osobistego, użytkownikowi końcowemu z faktury VAT lub rachunku; przepis ten wymaga korekty, gdyż decyzja, o której mowa w art. 68zj ust. 1, w zakresie, o którym mowa w art. 68zk ust. 1 pkt 2 nie dotyczy roweru, wózka rowerowego, hulajnogi elektrycznej oraz urządzenia transportu osobistego, tylko pojazdu, przedmiotu wyposażenia lub części;  </w:t>
            </w:r>
          </w:p>
          <w:p w14:paraId="3C048A5F" w14:textId="153D38F4" w:rsidR="0052330A" w:rsidRPr="00D25917" w:rsidRDefault="0052330A" w:rsidP="0042202B">
            <w:pPr>
              <w:ind w:right="766"/>
              <w:rPr>
                <w:rFonts w:cstheme="minorHAnsi"/>
                <w:b/>
                <w:color w:val="0070C0"/>
                <w:u w:val="single"/>
              </w:rPr>
            </w:pPr>
          </w:p>
          <w:p w14:paraId="42C69A0F" w14:textId="22B7BC23" w:rsidR="0052330A" w:rsidRPr="00D25917" w:rsidRDefault="0052330A" w:rsidP="0052330A">
            <w:pPr>
              <w:pStyle w:val="Tekstkomentarza"/>
              <w:rPr>
                <w:rFonts w:cstheme="minorHAnsi"/>
                <w:b/>
                <w:color w:val="0070C0"/>
                <w:sz w:val="22"/>
                <w:szCs w:val="22"/>
                <w:u w:val="single"/>
              </w:rPr>
            </w:pPr>
            <w:r w:rsidRPr="00D25917">
              <w:rPr>
                <w:rFonts w:cstheme="minorHAnsi"/>
                <w:b/>
                <w:color w:val="0070C0"/>
                <w:sz w:val="22"/>
                <w:szCs w:val="22"/>
                <w:u w:val="single"/>
              </w:rPr>
              <w:t xml:space="preserve">Projekt zawiera art. 68zzb, który wskazuje, iż rozdział 4b dotyczy m.in. rowerów, w tym w zakresie również art. 68zk. </w:t>
            </w:r>
          </w:p>
          <w:p w14:paraId="7DB94681" w14:textId="47D2C11E" w:rsidR="0052330A" w:rsidRPr="00D25917" w:rsidRDefault="0052330A" w:rsidP="0052330A">
            <w:pPr>
              <w:pStyle w:val="Tekstkomentarza"/>
              <w:rPr>
                <w:rFonts w:cstheme="minorHAnsi"/>
                <w:b/>
                <w:color w:val="0070C0"/>
                <w:sz w:val="22"/>
                <w:szCs w:val="22"/>
                <w:u w:val="single"/>
              </w:rPr>
            </w:pPr>
          </w:p>
          <w:p w14:paraId="084C0DB1" w14:textId="5BB0D77F" w:rsidR="0052330A" w:rsidRPr="00D25917" w:rsidRDefault="0052330A" w:rsidP="0052330A">
            <w:pPr>
              <w:pStyle w:val="Tekstkomentarza"/>
              <w:rPr>
                <w:rFonts w:cstheme="minorHAnsi"/>
                <w:b/>
                <w:i/>
                <w:color w:val="0070C0"/>
                <w:sz w:val="22"/>
                <w:szCs w:val="22"/>
                <w:u w:val="single"/>
              </w:rPr>
            </w:pPr>
            <w:bookmarkStart w:id="2" w:name="_Hlk232617828"/>
            <w:r w:rsidRPr="00D25917">
              <w:rPr>
                <w:rFonts w:cstheme="minorHAnsi"/>
                <w:b/>
                <w:i/>
                <w:color w:val="0070C0"/>
                <w:sz w:val="22"/>
                <w:szCs w:val="22"/>
                <w:u w:val="single"/>
              </w:rPr>
              <w:t xml:space="preserve">„Art. 68zza. Przepisy niniejszego rozdziału, z wyłączeniem art. 68zl ust. 3 oraz art. 68zu, stosuje się odpowiednio do zadań Dyrektora TDT </w:t>
            </w:r>
            <w:bookmarkStart w:id="3" w:name="_Hlk229326797"/>
            <w:r w:rsidRPr="00D25917">
              <w:rPr>
                <w:rFonts w:cstheme="minorHAnsi"/>
                <w:b/>
                <w:i/>
                <w:color w:val="0070C0"/>
                <w:sz w:val="22"/>
                <w:szCs w:val="22"/>
                <w:u w:val="single"/>
              </w:rPr>
              <w:t>jako organu nadzoru rynku realizowanych w odniesieniu do rowerów, wózków rowerowych, hulajnóg elektrycznych oraz urządzeń transportu osobistego, a także do obowiązków podmiotów gospodarczych, które te rowery, wózki rowerowe, hulajnogi elektryczne oraz urządzenia transportu osobistego wprowadzają do obrotu na terytorium Rzeczypospolitej Polskiej</w:t>
            </w:r>
            <w:bookmarkEnd w:id="3"/>
            <w:r w:rsidRPr="00D25917">
              <w:rPr>
                <w:rFonts w:cstheme="minorHAnsi"/>
                <w:b/>
                <w:i/>
                <w:color w:val="0070C0"/>
                <w:sz w:val="22"/>
                <w:szCs w:val="22"/>
                <w:u w:val="single"/>
              </w:rPr>
              <w:t>.”</w:t>
            </w:r>
          </w:p>
          <w:bookmarkEnd w:id="2"/>
          <w:p w14:paraId="58F626FB" w14:textId="2A4808BE" w:rsidR="0052330A" w:rsidRPr="00D25917" w:rsidRDefault="0052330A" w:rsidP="0042202B">
            <w:pPr>
              <w:ind w:right="766"/>
              <w:rPr>
                <w:rFonts w:cstheme="minorHAnsi"/>
                <w:b/>
                <w:color w:val="0070C0"/>
                <w:u w:val="single"/>
              </w:rPr>
            </w:pPr>
          </w:p>
          <w:p w14:paraId="28842031" w14:textId="77777777" w:rsidR="0052330A" w:rsidRPr="00D25917" w:rsidRDefault="0052330A" w:rsidP="0042202B">
            <w:pPr>
              <w:ind w:right="766"/>
              <w:rPr>
                <w:rFonts w:cstheme="minorHAnsi"/>
                <w:b/>
                <w:color w:val="0070C0"/>
                <w:u w:val="single"/>
              </w:rPr>
            </w:pPr>
          </w:p>
          <w:p w14:paraId="5B6DE69D" w14:textId="78D2DB69" w:rsidR="00864F5C" w:rsidRPr="00D25917" w:rsidRDefault="00864F5C" w:rsidP="0042202B">
            <w:pPr>
              <w:ind w:right="766"/>
              <w:rPr>
                <w:rFonts w:cstheme="minorHAnsi"/>
                <w:b/>
                <w:color w:val="0070C0"/>
                <w:u w:val="single"/>
              </w:rPr>
            </w:pPr>
            <w:r w:rsidRPr="00D25917">
              <w:rPr>
                <w:rFonts w:cstheme="minorHAnsi"/>
                <w:b/>
                <w:color w:val="0070C0"/>
                <w:u w:val="single"/>
              </w:rPr>
              <w:t>3)</w:t>
            </w:r>
            <w:r w:rsidR="00B16328" w:rsidRPr="00D25917">
              <w:rPr>
                <w:rFonts w:cstheme="minorHAnsi"/>
                <w:b/>
                <w:color w:val="0070C0"/>
                <w:u w:val="single"/>
              </w:rPr>
              <w:t xml:space="preserve"> </w:t>
            </w:r>
            <w:r w:rsidRPr="00D25917">
              <w:rPr>
                <w:rFonts w:cstheme="minorHAnsi"/>
                <w:b/>
                <w:color w:val="0070C0"/>
                <w:u w:val="single"/>
              </w:rPr>
              <w:t xml:space="preserve">zgodnie z projektowanym art. 71b pkt 3 podmiot gospodarczy, który ponownie udostępnił na rynku pojazd, przedmiot wyposażenia lub cześć, rower, wózek rowerowy, hulajnogę elektryczną oraz urządzenie transportu osobistego pomimo zakazu, o którym </w:t>
            </w:r>
            <w:r w:rsidRPr="00D25917">
              <w:rPr>
                <w:rFonts w:cstheme="minorHAnsi"/>
                <w:b/>
                <w:color w:val="0070C0"/>
                <w:u w:val="single"/>
              </w:rPr>
              <w:lastRenderedPageBreak/>
              <w:t>mowa w art. 68zk ust. 14, podlega administracyjnej karze pieniężnej w wysokości równoważnej ceny sprzedaży roweru, wózka rowerowego, hulajnogi elektrycznej oraz urządzenia transportu osobistego użytkownikowi końcowemu z faktury VAT lub rachunku; w ww. art. 71b pkt 3 należy poprawić odesłanie, gdyż art. 68zk nie ma ust. 14; ponadto w przepisie tym oraz w art. 71b pkt 2 wydaje się, że wyraz „oraz” należy zastąpić wyrazem „lub”;</w:t>
            </w:r>
          </w:p>
          <w:p w14:paraId="4C3833AB" w14:textId="23230FF3" w:rsidR="0052330A" w:rsidRPr="00D25917" w:rsidRDefault="0052330A" w:rsidP="0042202B">
            <w:pPr>
              <w:ind w:right="766"/>
              <w:rPr>
                <w:rFonts w:cstheme="minorHAnsi"/>
                <w:b/>
                <w:color w:val="0070C0"/>
                <w:u w:val="single"/>
              </w:rPr>
            </w:pPr>
          </w:p>
          <w:p w14:paraId="1327952D" w14:textId="4375204D" w:rsidR="0052330A" w:rsidRPr="00D25917" w:rsidRDefault="0052330A" w:rsidP="0042202B">
            <w:pPr>
              <w:ind w:right="766"/>
              <w:rPr>
                <w:rFonts w:cstheme="minorHAnsi"/>
                <w:b/>
                <w:color w:val="0070C0"/>
                <w:u w:val="single"/>
              </w:rPr>
            </w:pPr>
            <w:r w:rsidRPr="00D25917">
              <w:rPr>
                <w:rFonts w:cstheme="minorHAnsi"/>
                <w:b/>
                <w:color w:val="0070C0"/>
                <w:u w:val="single"/>
              </w:rPr>
              <w:t>Poprawiono przepis zgodnie z uwagą</w:t>
            </w:r>
            <w:r w:rsidR="00EB16A7" w:rsidRPr="00D25917">
              <w:rPr>
                <w:rFonts w:cstheme="minorHAnsi"/>
                <w:b/>
                <w:color w:val="0070C0"/>
                <w:u w:val="single"/>
              </w:rPr>
              <w:t>.</w:t>
            </w:r>
          </w:p>
          <w:p w14:paraId="0E5A4436" w14:textId="77777777" w:rsidR="0052330A" w:rsidRPr="00D25917" w:rsidRDefault="0052330A" w:rsidP="0042202B">
            <w:pPr>
              <w:ind w:right="766"/>
              <w:rPr>
                <w:rFonts w:cstheme="minorHAnsi"/>
                <w:b/>
                <w:color w:val="0070C0"/>
                <w:u w:val="single"/>
              </w:rPr>
            </w:pPr>
          </w:p>
          <w:p w14:paraId="2234FB64" w14:textId="711DE39A" w:rsidR="00864F5C" w:rsidRPr="00D25917" w:rsidRDefault="00864F5C" w:rsidP="0042202B">
            <w:pPr>
              <w:ind w:right="766"/>
              <w:rPr>
                <w:rFonts w:cstheme="minorHAnsi"/>
                <w:b/>
                <w:color w:val="0070C0"/>
                <w:u w:val="single"/>
              </w:rPr>
            </w:pPr>
            <w:r w:rsidRPr="00D25917">
              <w:rPr>
                <w:rFonts w:cstheme="minorHAnsi"/>
                <w:b/>
                <w:color w:val="0070C0"/>
                <w:u w:val="single"/>
              </w:rPr>
              <w:t>4)</w:t>
            </w:r>
            <w:r w:rsidR="00EB16A7" w:rsidRPr="00D25917">
              <w:rPr>
                <w:rFonts w:cstheme="minorHAnsi"/>
                <w:b/>
                <w:color w:val="0070C0"/>
                <w:u w:val="single"/>
              </w:rPr>
              <w:t xml:space="preserve"> </w:t>
            </w:r>
            <w:r w:rsidRPr="00D25917">
              <w:rPr>
                <w:rFonts w:cstheme="minorHAnsi"/>
                <w:b/>
                <w:color w:val="0070C0"/>
                <w:u w:val="single"/>
              </w:rPr>
              <w:t>w projektowanym art. 71c pkt 3 należy dodać oznaczenie art. przed wyrazami „39 rozporządzenia 168/2013”;</w:t>
            </w:r>
          </w:p>
          <w:p w14:paraId="730C3BEA" w14:textId="3763769F" w:rsidR="0052330A" w:rsidRPr="00D25917" w:rsidRDefault="0052330A" w:rsidP="0042202B">
            <w:pPr>
              <w:ind w:right="766"/>
              <w:rPr>
                <w:rFonts w:cstheme="minorHAnsi"/>
                <w:b/>
                <w:color w:val="0070C0"/>
                <w:u w:val="single"/>
              </w:rPr>
            </w:pPr>
          </w:p>
          <w:p w14:paraId="43FB5941" w14:textId="77777777" w:rsidR="00EB16A7" w:rsidRPr="00D25917" w:rsidRDefault="00EB16A7" w:rsidP="00EB16A7">
            <w:pPr>
              <w:ind w:right="766"/>
              <w:rPr>
                <w:rFonts w:cstheme="minorHAnsi"/>
                <w:b/>
                <w:color w:val="0070C0"/>
                <w:u w:val="single"/>
              </w:rPr>
            </w:pPr>
            <w:r w:rsidRPr="00D25917">
              <w:rPr>
                <w:rFonts w:cstheme="minorHAnsi"/>
                <w:b/>
                <w:color w:val="0070C0"/>
                <w:u w:val="single"/>
              </w:rPr>
              <w:t xml:space="preserve">Poprawiono przepis zgodnie z uwagą. </w:t>
            </w:r>
          </w:p>
          <w:p w14:paraId="2401B8DE" w14:textId="77777777" w:rsidR="00EB16A7" w:rsidRPr="00D25917" w:rsidRDefault="00EB16A7" w:rsidP="0042202B">
            <w:pPr>
              <w:ind w:right="766"/>
              <w:rPr>
                <w:rFonts w:cstheme="minorHAnsi"/>
                <w:b/>
                <w:color w:val="0070C0"/>
                <w:u w:val="single"/>
              </w:rPr>
            </w:pPr>
          </w:p>
          <w:p w14:paraId="659CE373" w14:textId="60B7BB16" w:rsidR="00864F5C" w:rsidRPr="00D25917" w:rsidRDefault="00864F5C" w:rsidP="0042202B">
            <w:pPr>
              <w:ind w:right="766"/>
              <w:rPr>
                <w:rFonts w:cstheme="minorHAnsi"/>
                <w:b/>
                <w:color w:val="0070C0"/>
                <w:u w:val="single"/>
              </w:rPr>
            </w:pPr>
            <w:r w:rsidRPr="00D25917">
              <w:rPr>
                <w:rFonts w:cstheme="minorHAnsi"/>
                <w:b/>
                <w:color w:val="0070C0"/>
                <w:u w:val="single"/>
              </w:rPr>
              <w:t>5)</w:t>
            </w:r>
            <w:r w:rsidR="00EB16A7" w:rsidRPr="00D25917">
              <w:rPr>
                <w:rFonts w:cstheme="minorHAnsi"/>
                <w:b/>
                <w:color w:val="0070C0"/>
                <w:u w:val="single"/>
              </w:rPr>
              <w:t xml:space="preserve"> </w:t>
            </w:r>
            <w:r w:rsidRPr="00D25917">
              <w:rPr>
                <w:rFonts w:cstheme="minorHAnsi"/>
                <w:b/>
                <w:color w:val="0070C0"/>
                <w:u w:val="single"/>
              </w:rPr>
              <w:t xml:space="preserve">w projektowanym art. 71c pkt 4, została określona administracyjna kara pieniężna dla podmiotu gospodarczego, który wprowadził do obrotu pojazd, przedmiot wyposażenia lub część niezgodnie z wymaganiami określonymi art. 33, art. 34, art. 36 i art. 38 rozporządzenia 2018/858; w porównaniu z wersją na konferencję uzgodnieniową ww. przepis został uzupełniony o art. 34 rozporządzenia 2018/858, który określa postępowanie organu udzielającego homologacji w przypadku poprawki oraz rozszerzenia homologacji typu UE; należy więc odpowiednio poprawić ten przepis, aby spełniał wymogi jasności i precyzyjności;   </w:t>
            </w:r>
          </w:p>
          <w:p w14:paraId="03912F0F" w14:textId="73C713C9" w:rsidR="00EB16A7" w:rsidRPr="00D25917" w:rsidRDefault="00EB16A7" w:rsidP="0042202B">
            <w:pPr>
              <w:ind w:right="766"/>
              <w:rPr>
                <w:rFonts w:cstheme="minorHAnsi"/>
                <w:b/>
                <w:color w:val="0070C0"/>
                <w:u w:val="single"/>
              </w:rPr>
            </w:pPr>
          </w:p>
          <w:p w14:paraId="374EEED8" w14:textId="00E4AE9D" w:rsidR="00EB16A7" w:rsidRPr="00D25917" w:rsidRDefault="00EB16A7" w:rsidP="0042202B">
            <w:pPr>
              <w:ind w:right="766"/>
              <w:rPr>
                <w:rFonts w:cstheme="minorHAnsi"/>
                <w:b/>
                <w:color w:val="0070C0"/>
                <w:u w:val="single"/>
              </w:rPr>
            </w:pPr>
            <w:r w:rsidRPr="00D25917">
              <w:rPr>
                <w:rFonts w:cstheme="minorHAnsi"/>
                <w:b/>
                <w:color w:val="0070C0"/>
                <w:u w:val="single"/>
              </w:rPr>
              <w:lastRenderedPageBreak/>
              <w:t xml:space="preserve">Wykreślono art. 34 rozporządzenia 2018/858 jako niemający zastosowania na potrzeby nadzoru rynku. </w:t>
            </w:r>
          </w:p>
          <w:p w14:paraId="7631569C" w14:textId="77777777" w:rsidR="00EB16A7" w:rsidRPr="00D25917" w:rsidRDefault="00EB16A7" w:rsidP="0042202B">
            <w:pPr>
              <w:ind w:right="766"/>
              <w:rPr>
                <w:rFonts w:cstheme="minorHAnsi"/>
                <w:b/>
                <w:color w:val="0070C0"/>
                <w:u w:val="single"/>
              </w:rPr>
            </w:pPr>
          </w:p>
          <w:p w14:paraId="4ECE8E7D" w14:textId="0BAEA0D4" w:rsidR="00864F5C" w:rsidRPr="00D25917" w:rsidRDefault="00864F5C" w:rsidP="0042202B">
            <w:pPr>
              <w:ind w:right="766"/>
              <w:rPr>
                <w:rFonts w:cstheme="minorHAnsi"/>
                <w:b/>
                <w:color w:val="0070C0"/>
                <w:u w:val="single"/>
              </w:rPr>
            </w:pPr>
            <w:r w:rsidRPr="00D25917">
              <w:rPr>
                <w:rFonts w:cstheme="minorHAnsi"/>
                <w:b/>
                <w:color w:val="0070C0"/>
                <w:u w:val="single"/>
              </w:rPr>
              <w:t>6)</w:t>
            </w:r>
            <w:r w:rsidR="00EB16A7" w:rsidRPr="00D25917">
              <w:rPr>
                <w:rFonts w:cstheme="minorHAnsi"/>
                <w:b/>
                <w:color w:val="0070C0"/>
                <w:u w:val="single"/>
              </w:rPr>
              <w:t xml:space="preserve"> </w:t>
            </w:r>
            <w:r w:rsidRPr="00D25917">
              <w:rPr>
                <w:rFonts w:cstheme="minorHAnsi"/>
                <w:b/>
                <w:color w:val="0070C0"/>
                <w:u w:val="single"/>
              </w:rPr>
              <w:t>projektowany art. 71d należy sprawdzić w zakresie odesłań; wydaje się, że powinno być odesłanie do art. 51 ust. 1, gdyż ten przepis nakłada na producenta obowiązek zawiadomienia, zaś art. 51 ust. 2 określa postępowania Dyrektora TDT po otrzymaniu zawiadomienia; ponadto w art. 68zk ust. 12 nie ma mowy o obowiązku powiadomienia;</w:t>
            </w:r>
          </w:p>
          <w:p w14:paraId="455C9C2A" w14:textId="4193FFFF" w:rsidR="00EB16A7" w:rsidRPr="00D25917" w:rsidRDefault="00EB16A7" w:rsidP="0042202B">
            <w:pPr>
              <w:ind w:right="766"/>
              <w:rPr>
                <w:rFonts w:cstheme="minorHAnsi"/>
                <w:b/>
                <w:color w:val="0070C0"/>
                <w:u w:val="single"/>
              </w:rPr>
            </w:pPr>
          </w:p>
          <w:p w14:paraId="65D0B8B8" w14:textId="7C124DD0" w:rsidR="00EB16A7" w:rsidRPr="00D25917" w:rsidRDefault="00EB16A7" w:rsidP="0042202B">
            <w:pPr>
              <w:ind w:right="766"/>
              <w:rPr>
                <w:rFonts w:cstheme="minorHAnsi"/>
                <w:b/>
                <w:color w:val="0070C0"/>
                <w:u w:val="single"/>
              </w:rPr>
            </w:pPr>
            <w:r w:rsidRPr="00D25917">
              <w:rPr>
                <w:rFonts w:cstheme="minorHAnsi"/>
                <w:b/>
                <w:color w:val="0070C0"/>
                <w:u w:val="single"/>
              </w:rPr>
              <w:t xml:space="preserve">Poprawiono przepis zgodnie z uwagą. </w:t>
            </w:r>
          </w:p>
          <w:p w14:paraId="7F999271" w14:textId="77777777" w:rsidR="00EB16A7" w:rsidRPr="00D25917" w:rsidRDefault="00EB16A7" w:rsidP="0042202B">
            <w:pPr>
              <w:ind w:right="766"/>
              <w:rPr>
                <w:rFonts w:cstheme="minorHAnsi"/>
                <w:b/>
                <w:color w:val="0070C0"/>
                <w:u w:val="single"/>
              </w:rPr>
            </w:pPr>
          </w:p>
          <w:p w14:paraId="653D37D6" w14:textId="5536B5CC" w:rsidR="00864F5C" w:rsidRPr="00D25917" w:rsidRDefault="00864F5C" w:rsidP="0042202B">
            <w:pPr>
              <w:ind w:right="766"/>
              <w:rPr>
                <w:rFonts w:cstheme="minorHAnsi"/>
                <w:b/>
                <w:color w:val="0070C0"/>
                <w:u w:val="single"/>
              </w:rPr>
            </w:pPr>
            <w:r w:rsidRPr="00D25917">
              <w:rPr>
                <w:rFonts w:cstheme="minorHAnsi"/>
                <w:b/>
                <w:color w:val="0070C0"/>
                <w:u w:val="single"/>
              </w:rPr>
              <w:t>7)</w:t>
            </w:r>
            <w:r w:rsidR="00EB16A7" w:rsidRPr="00D25917">
              <w:rPr>
                <w:rFonts w:cstheme="minorHAnsi"/>
                <w:b/>
                <w:color w:val="0070C0"/>
                <w:u w:val="single"/>
              </w:rPr>
              <w:t xml:space="preserve"> </w:t>
            </w:r>
            <w:r w:rsidRPr="00D25917">
              <w:rPr>
                <w:rFonts w:cstheme="minorHAnsi"/>
                <w:b/>
                <w:color w:val="0070C0"/>
                <w:u w:val="single"/>
              </w:rPr>
              <w:t xml:space="preserve">projektowany art. 71h należy sprawdzić w zakresie odesłań: w pkt 3 do „art. 19, ust. 4” rozporządzenia 2018/858 (w ust. 4 nie ma obowiązku udostępniania </w:t>
            </w:r>
            <w:r w:rsidRPr="00D25917">
              <w:rPr>
                <w:rFonts w:cstheme="minorHAnsi"/>
                <w:b/>
                <w:color w:val="0070C0"/>
                <w:u w:val="single"/>
              </w:rPr>
              <w:lastRenderedPageBreak/>
              <w:t xml:space="preserve">informacji i dokumentów), w pkt 8 wydaje się, że należałoby doprecyzować o jakie ustępy w art. 14 rozporządzenia 2014/1257 chodzi;   </w:t>
            </w:r>
          </w:p>
          <w:p w14:paraId="2EE945FA" w14:textId="462E4CC1" w:rsidR="00EB16A7" w:rsidRPr="00D25917" w:rsidRDefault="00EB16A7" w:rsidP="0042202B">
            <w:pPr>
              <w:ind w:right="766"/>
              <w:rPr>
                <w:rFonts w:cstheme="minorHAnsi"/>
                <w:b/>
                <w:color w:val="0070C0"/>
                <w:u w:val="single"/>
              </w:rPr>
            </w:pPr>
          </w:p>
          <w:p w14:paraId="79436625" w14:textId="7DAEBCB9" w:rsidR="00EB16A7" w:rsidRPr="00D25917" w:rsidRDefault="00EB16A7" w:rsidP="0042202B">
            <w:pPr>
              <w:ind w:right="766"/>
              <w:rPr>
                <w:rFonts w:cstheme="minorHAnsi"/>
                <w:b/>
                <w:color w:val="0070C0"/>
                <w:u w:val="single"/>
              </w:rPr>
            </w:pPr>
            <w:r w:rsidRPr="00D25917">
              <w:rPr>
                <w:rFonts w:cstheme="minorHAnsi"/>
                <w:b/>
                <w:color w:val="0070C0"/>
                <w:u w:val="single"/>
              </w:rPr>
              <w:t xml:space="preserve">Poprawiono przepis poprzez odesłanie do art. 19 ust. 3, oraz do art. 14 ust. rozporządzenia 2014/1257. </w:t>
            </w:r>
          </w:p>
          <w:p w14:paraId="338AF873" w14:textId="77777777" w:rsidR="00EB16A7" w:rsidRPr="00D25917" w:rsidRDefault="00EB16A7" w:rsidP="0042202B">
            <w:pPr>
              <w:ind w:right="766"/>
              <w:rPr>
                <w:rFonts w:cstheme="minorHAnsi"/>
                <w:b/>
                <w:color w:val="0070C0"/>
                <w:u w:val="single"/>
              </w:rPr>
            </w:pPr>
          </w:p>
          <w:p w14:paraId="698DCDBB" w14:textId="770DBFB1" w:rsidR="00EB16A7" w:rsidRPr="00D25917" w:rsidRDefault="00864F5C" w:rsidP="0042202B">
            <w:pPr>
              <w:ind w:right="766"/>
              <w:rPr>
                <w:rFonts w:cstheme="minorHAnsi"/>
                <w:b/>
                <w:color w:val="0070C0"/>
                <w:u w:val="single"/>
              </w:rPr>
            </w:pPr>
            <w:r w:rsidRPr="00D25917">
              <w:rPr>
                <w:rFonts w:cstheme="minorHAnsi"/>
                <w:b/>
                <w:color w:val="0070C0"/>
                <w:u w:val="single"/>
              </w:rPr>
              <w:t>8)</w:t>
            </w:r>
            <w:r w:rsidR="00EB16A7" w:rsidRPr="00D25917">
              <w:rPr>
                <w:rFonts w:cstheme="minorHAnsi"/>
                <w:b/>
                <w:color w:val="0070C0"/>
                <w:u w:val="single"/>
              </w:rPr>
              <w:t xml:space="preserve"> </w:t>
            </w:r>
            <w:r w:rsidRPr="00D25917">
              <w:rPr>
                <w:rFonts w:cstheme="minorHAnsi"/>
                <w:b/>
                <w:color w:val="0070C0"/>
                <w:u w:val="single"/>
              </w:rPr>
              <w:t xml:space="preserve">w projektowanym art. 71k ust. 2 pkt 2 stosownie do art. 9 ust. 1 zmienianej ustawy, wyrazy „nie zwróci” należałoby zastąpić wyrazami „nie przekaże”; jednocześnie zauważa się, że w art. 9 ust. 1 jest mowa o przekazaniu dokumentów lub ich kopii; </w:t>
            </w:r>
          </w:p>
          <w:p w14:paraId="657FE4E9" w14:textId="767DBB8C" w:rsidR="00EB16A7" w:rsidRPr="00D25917" w:rsidRDefault="00EB16A7" w:rsidP="0042202B">
            <w:pPr>
              <w:ind w:right="766"/>
              <w:rPr>
                <w:rFonts w:cstheme="minorHAnsi"/>
                <w:b/>
                <w:color w:val="0070C0"/>
                <w:u w:val="single"/>
              </w:rPr>
            </w:pPr>
          </w:p>
          <w:p w14:paraId="5090E232" w14:textId="0A0C16E0" w:rsidR="00EB16A7" w:rsidRPr="00D25917" w:rsidRDefault="00EB16A7" w:rsidP="0042202B">
            <w:pPr>
              <w:ind w:right="766"/>
              <w:rPr>
                <w:rFonts w:cstheme="minorHAnsi"/>
                <w:b/>
                <w:color w:val="0070C0"/>
                <w:u w:val="single"/>
              </w:rPr>
            </w:pPr>
            <w:r w:rsidRPr="00D25917">
              <w:rPr>
                <w:rFonts w:cstheme="minorHAnsi"/>
                <w:b/>
                <w:color w:val="0070C0"/>
                <w:u w:val="single"/>
              </w:rPr>
              <w:t xml:space="preserve">Poprawiono przepis zgodnie z uwagą. </w:t>
            </w:r>
          </w:p>
          <w:p w14:paraId="7893F231" w14:textId="77A3FF80" w:rsidR="00864F5C" w:rsidRPr="00D25917" w:rsidRDefault="00864F5C" w:rsidP="0042202B">
            <w:pPr>
              <w:ind w:right="766"/>
              <w:rPr>
                <w:rFonts w:cstheme="minorHAnsi"/>
                <w:b/>
                <w:color w:val="0070C0"/>
                <w:u w:val="single"/>
              </w:rPr>
            </w:pPr>
            <w:r w:rsidRPr="00D25917">
              <w:rPr>
                <w:rFonts w:cstheme="minorHAnsi"/>
                <w:b/>
                <w:color w:val="0070C0"/>
                <w:u w:val="single"/>
              </w:rPr>
              <w:t xml:space="preserve">  </w:t>
            </w:r>
          </w:p>
          <w:p w14:paraId="5EBF3FC1" w14:textId="10A6A8A2" w:rsidR="00864F5C" w:rsidRPr="00D25917" w:rsidRDefault="00864F5C" w:rsidP="0042202B">
            <w:pPr>
              <w:ind w:right="766"/>
              <w:rPr>
                <w:rFonts w:cstheme="minorHAnsi"/>
                <w:b/>
                <w:color w:val="0070C0"/>
                <w:u w:val="single"/>
              </w:rPr>
            </w:pPr>
            <w:r w:rsidRPr="00D25917">
              <w:rPr>
                <w:rFonts w:cstheme="minorHAnsi"/>
                <w:b/>
                <w:color w:val="0070C0"/>
                <w:u w:val="single"/>
              </w:rPr>
              <w:t>9)</w:t>
            </w:r>
            <w:r w:rsidR="00EB16A7" w:rsidRPr="00D25917">
              <w:rPr>
                <w:rFonts w:cstheme="minorHAnsi"/>
                <w:b/>
                <w:color w:val="0070C0"/>
                <w:u w:val="single"/>
              </w:rPr>
              <w:t xml:space="preserve"> </w:t>
            </w:r>
            <w:r w:rsidRPr="00D25917">
              <w:rPr>
                <w:rFonts w:cstheme="minorHAnsi"/>
                <w:b/>
                <w:color w:val="0070C0"/>
                <w:u w:val="single"/>
              </w:rPr>
              <w:t xml:space="preserve">w projektowanym art. 71n należy poprawić nieprawidłowe odesłanie, </w:t>
            </w:r>
            <w:r w:rsidRPr="00D25917">
              <w:rPr>
                <w:rFonts w:cstheme="minorHAnsi"/>
                <w:b/>
                <w:color w:val="0070C0"/>
                <w:u w:val="single"/>
              </w:rPr>
              <w:lastRenderedPageBreak/>
              <w:t xml:space="preserve">gdyż w art. 71 w ust. 2 nie ma pkt 3;  </w:t>
            </w:r>
          </w:p>
          <w:p w14:paraId="64A013EF" w14:textId="6C29A3CB" w:rsidR="00EB16A7" w:rsidRPr="00D25917" w:rsidRDefault="00EB16A7" w:rsidP="0042202B">
            <w:pPr>
              <w:ind w:right="766"/>
              <w:rPr>
                <w:rFonts w:cstheme="minorHAnsi"/>
                <w:b/>
                <w:color w:val="0070C0"/>
                <w:u w:val="single"/>
              </w:rPr>
            </w:pPr>
          </w:p>
          <w:p w14:paraId="11F500B3" w14:textId="1C4178B5" w:rsidR="00EB16A7" w:rsidRPr="00D25917" w:rsidRDefault="00EB16A7" w:rsidP="0042202B">
            <w:pPr>
              <w:ind w:right="766"/>
              <w:rPr>
                <w:rFonts w:cstheme="minorHAnsi"/>
                <w:b/>
                <w:color w:val="0070C0"/>
                <w:u w:val="single"/>
              </w:rPr>
            </w:pPr>
            <w:r w:rsidRPr="00D25917">
              <w:rPr>
                <w:rFonts w:cstheme="minorHAnsi"/>
                <w:b/>
                <w:color w:val="0070C0"/>
                <w:u w:val="single"/>
              </w:rPr>
              <w:t xml:space="preserve">Poprawiono na art. 71 ust. 3. </w:t>
            </w:r>
          </w:p>
          <w:p w14:paraId="69FDB5FD" w14:textId="16C0719A" w:rsidR="00864F5C" w:rsidRPr="00D25917" w:rsidRDefault="00864F5C" w:rsidP="0042202B">
            <w:pPr>
              <w:ind w:right="766"/>
              <w:rPr>
                <w:rFonts w:cstheme="minorHAnsi"/>
                <w:b/>
                <w:color w:val="0070C0"/>
                <w:u w:val="single"/>
              </w:rPr>
            </w:pPr>
            <w:r w:rsidRPr="00D25917">
              <w:rPr>
                <w:rFonts w:cstheme="minorHAnsi"/>
                <w:b/>
                <w:color w:val="0070C0"/>
                <w:u w:val="single"/>
              </w:rPr>
              <w:t>10)</w:t>
            </w:r>
            <w:r w:rsidR="00EB16A7" w:rsidRPr="00D25917">
              <w:rPr>
                <w:rFonts w:cstheme="minorHAnsi"/>
                <w:b/>
                <w:color w:val="0070C0"/>
                <w:u w:val="single"/>
              </w:rPr>
              <w:t xml:space="preserve"> </w:t>
            </w:r>
            <w:r w:rsidRPr="00D25917">
              <w:rPr>
                <w:rFonts w:cstheme="minorHAnsi"/>
                <w:b/>
                <w:color w:val="0070C0"/>
                <w:u w:val="single"/>
              </w:rPr>
              <w:t xml:space="preserve">w projektowanym art. 71o: należy skreślić oznaczenie ust. 1, w pkt 4 wyrazy „w terminie” proponuje się zastąpić wyrazami „przez okres”, w pkt 5 jest odesłanie do art. 68zw ust. 2, które wymaga korekty; ponadto w art. 68z ust. 2 także należy poprawić odesłanie, ponieważ jest w nim odesłanie do ust. 2.    </w:t>
            </w:r>
          </w:p>
          <w:p w14:paraId="6FD2E89D" w14:textId="0932B20E" w:rsidR="00EB16A7" w:rsidRPr="00D25917" w:rsidRDefault="00EB16A7" w:rsidP="0042202B">
            <w:pPr>
              <w:ind w:right="766"/>
              <w:rPr>
                <w:rFonts w:cstheme="minorHAnsi"/>
                <w:b/>
                <w:color w:val="0070C0"/>
                <w:u w:val="single"/>
              </w:rPr>
            </w:pPr>
          </w:p>
          <w:p w14:paraId="78E58B3D" w14:textId="217770B0" w:rsidR="00EB16A7" w:rsidRPr="00D25917" w:rsidRDefault="00BA4252" w:rsidP="0042202B">
            <w:pPr>
              <w:ind w:right="766"/>
              <w:rPr>
                <w:rFonts w:cstheme="minorHAnsi"/>
                <w:b/>
                <w:color w:val="0070C0"/>
                <w:u w:val="single"/>
              </w:rPr>
            </w:pPr>
            <w:r w:rsidRPr="00D25917">
              <w:rPr>
                <w:rFonts w:cstheme="minorHAnsi"/>
                <w:b/>
                <w:color w:val="0070C0"/>
                <w:u w:val="single"/>
              </w:rPr>
              <w:t xml:space="preserve">Poprawiono zgodnie z uwagą. </w:t>
            </w:r>
          </w:p>
          <w:p w14:paraId="53E11DE9" w14:textId="77777777" w:rsidR="00EB16A7" w:rsidRPr="00D25917" w:rsidRDefault="00EB16A7" w:rsidP="0042202B">
            <w:pPr>
              <w:ind w:right="766"/>
              <w:rPr>
                <w:rFonts w:cstheme="minorHAnsi"/>
                <w:b/>
                <w:color w:val="0070C0"/>
                <w:u w:val="single"/>
              </w:rPr>
            </w:pPr>
          </w:p>
          <w:p w14:paraId="71B2DFC0" w14:textId="37F88B0B" w:rsidR="00864F5C" w:rsidRPr="00D25917" w:rsidRDefault="00864F5C" w:rsidP="0042202B">
            <w:pPr>
              <w:ind w:right="766"/>
              <w:rPr>
                <w:rFonts w:cstheme="minorHAnsi"/>
                <w:b/>
                <w:color w:val="0070C0"/>
                <w:u w:val="single"/>
              </w:rPr>
            </w:pPr>
            <w:r w:rsidRPr="00D25917">
              <w:rPr>
                <w:rFonts w:cstheme="minorHAnsi"/>
                <w:b/>
                <w:color w:val="0070C0"/>
                <w:u w:val="single"/>
              </w:rPr>
              <w:t>i.</w:t>
            </w:r>
            <w:r w:rsidR="00BA4252" w:rsidRPr="00D25917">
              <w:rPr>
                <w:rFonts w:cstheme="minorHAnsi"/>
                <w:b/>
                <w:color w:val="0070C0"/>
                <w:u w:val="single"/>
              </w:rPr>
              <w:t xml:space="preserve"> </w:t>
            </w:r>
            <w:r w:rsidRPr="00D25917">
              <w:rPr>
                <w:rFonts w:cstheme="minorHAnsi"/>
                <w:b/>
                <w:color w:val="0070C0"/>
                <w:u w:val="single"/>
              </w:rPr>
              <w:t>Ponadto zauważa się, że dodany w nowej wersji projektu art. 18  (tzw. reguła wydatkowa) powinien zostać umiejscowiony przed przepisem o wejściu w życie projektowanej ustawy.</w:t>
            </w:r>
          </w:p>
          <w:p w14:paraId="54FAF132" w14:textId="3A0400F4" w:rsidR="00BA4252" w:rsidRPr="00D25917" w:rsidRDefault="00BA4252" w:rsidP="0042202B">
            <w:pPr>
              <w:ind w:right="766"/>
              <w:rPr>
                <w:rFonts w:cstheme="minorHAnsi"/>
                <w:b/>
                <w:color w:val="0070C0"/>
                <w:u w:val="single"/>
              </w:rPr>
            </w:pPr>
          </w:p>
          <w:p w14:paraId="6AAD70CA" w14:textId="3731A1CA" w:rsidR="007B6387" w:rsidRPr="00D25917" w:rsidRDefault="009A271A" w:rsidP="0042202B">
            <w:pPr>
              <w:ind w:right="766"/>
              <w:rPr>
                <w:rFonts w:cstheme="minorHAnsi"/>
                <w:b/>
                <w:color w:val="0070C0"/>
                <w:u w:val="single"/>
              </w:rPr>
            </w:pPr>
            <w:r w:rsidRPr="00D25917">
              <w:rPr>
                <w:rFonts w:cstheme="minorHAnsi"/>
                <w:b/>
                <w:color w:val="0070C0"/>
                <w:u w:val="single"/>
              </w:rPr>
              <w:lastRenderedPageBreak/>
              <w:t xml:space="preserve">Poprawiono zgodnie z uwagą. </w:t>
            </w:r>
          </w:p>
          <w:p w14:paraId="3965CAEB" w14:textId="346D9302" w:rsidR="007B6387" w:rsidRPr="00D25917" w:rsidRDefault="007B6387" w:rsidP="0042202B">
            <w:pPr>
              <w:ind w:right="766"/>
              <w:rPr>
                <w:rFonts w:cstheme="minorHAnsi"/>
                <w:b/>
                <w:color w:val="0070C0"/>
              </w:rPr>
            </w:pPr>
          </w:p>
        </w:tc>
      </w:tr>
      <w:tr w:rsidR="0059404D" w:rsidRPr="00F515D6" w14:paraId="2817B4FB" w14:textId="1126625B" w:rsidTr="00D76FE7">
        <w:tc>
          <w:tcPr>
            <w:tcW w:w="562" w:type="dxa"/>
          </w:tcPr>
          <w:p w14:paraId="58ADEA71" w14:textId="09C6D7E6" w:rsidR="0059404D" w:rsidRPr="001C7DBF" w:rsidRDefault="0059404D" w:rsidP="0042202B">
            <w:pPr>
              <w:rPr>
                <w:rFonts w:cstheme="minorHAnsi"/>
                <w:b/>
              </w:rPr>
            </w:pPr>
            <w:r w:rsidRPr="001C7DBF">
              <w:rPr>
                <w:rFonts w:cstheme="minorHAnsi"/>
                <w:b/>
              </w:rPr>
              <w:lastRenderedPageBreak/>
              <w:t>2</w:t>
            </w:r>
          </w:p>
        </w:tc>
        <w:tc>
          <w:tcPr>
            <w:tcW w:w="993" w:type="dxa"/>
          </w:tcPr>
          <w:p w14:paraId="2307DBD3" w14:textId="5D2C976A" w:rsidR="0059404D" w:rsidRPr="001C7DBF" w:rsidRDefault="0059404D" w:rsidP="0042202B">
            <w:pPr>
              <w:rPr>
                <w:rFonts w:cstheme="minorHAnsi"/>
                <w:b/>
              </w:rPr>
            </w:pPr>
            <w:r w:rsidRPr="001C7DBF">
              <w:rPr>
                <w:rFonts w:cstheme="minorHAnsi"/>
                <w:b/>
              </w:rPr>
              <w:t xml:space="preserve">RCL </w:t>
            </w:r>
          </w:p>
        </w:tc>
        <w:tc>
          <w:tcPr>
            <w:tcW w:w="1701" w:type="dxa"/>
          </w:tcPr>
          <w:p w14:paraId="7F890145" w14:textId="337A8D5E" w:rsidR="0059404D" w:rsidRPr="001C7DBF" w:rsidRDefault="0059404D" w:rsidP="0042202B">
            <w:pPr>
              <w:rPr>
                <w:rFonts w:cstheme="minorHAnsi"/>
                <w:b/>
              </w:rPr>
            </w:pPr>
            <w:r w:rsidRPr="001C7DBF">
              <w:rPr>
                <w:rFonts w:cstheme="minorHAnsi"/>
                <w:b/>
              </w:rPr>
              <w:t>Art. 2, art. 68b pkt 2, art. 68f ust. 1 pkt 2 i art. 68g ust. 2 pkt 2 UH</w:t>
            </w:r>
          </w:p>
        </w:tc>
        <w:tc>
          <w:tcPr>
            <w:tcW w:w="5953" w:type="dxa"/>
          </w:tcPr>
          <w:p w14:paraId="6A46F018" w14:textId="77777777" w:rsidR="0059404D" w:rsidRPr="001C7DBF" w:rsidRDefault="0059404D" w:rsidP="0042202B">
            <w:pPr>
              <w:widowControl w:val="0"/>
              <w:numPr>
                <w:ilvl w:val="0"/>
                <w:numId w:val="2"/>
              </w:numPr>
              <w:tabs>
                <w:tab w:val="left" w:pos="740"/>
              </w:tabs>
              <w:ind w:hanging="426"/>
              <w:rPr>
                <w:rFonts w:cstheme="minorHAnsi"/>
                <w:b/>
              </w:rPr>
            </w:pPr>
            <w:r w:rsidRPr="001C7DBF">
              <w:rPr>
                <w:rFonts w:cstheme="minorHAnsi"/>
                <w:b/>
              </w:rPr>
              <w:t xml:space="preserve">Art. 1 pkt 3 projektu wprowadza zmiany w definicjach zamieszczonych w art. 2 ustawy. </w:t>
            </w:r>
          </w:p>
          <w:p w14:paraId="48D3AF88" w14:textId="7C01C09B" w:rsidR="0059404D" w:rsidRPr="001C7DBF" w:rsidRDefault="0059404D" w:rsidP="0042202B">
            <w:pPr>
              <w:widowControl w:val="0"/>
              <w:numPr>
                <w:ilvl w:val="0"/>
                <w:numId w:val="2"/>
              </w:numPr>
              <w:tabs>
                <w:tab w:val="left" w:pos="740"/>
              </w:tabs>
              <w:ind w:hanging="426"/>
              <w:rPr>
                <w:rFonts w:cstheme="minorHAnsi"/>
                <w:b/>
              </w:rPr>
            </w:pPr>
            <w:r w:rsidRPr="001C7DBF">
              <w:rPr>
                <w:rFonts w:cstheme="minorHAnsi"/>
                <w:b/>
              </w:rPr>
              <w:t xml:space="preserve">Ponownej analizy, wyjaśnienia i ewentualnej korekty wymaga zmiana art. 2 pkt 5, czyli zmiana definicji podmiotu gospodarczego. Zgodnie z obowiązującą ustawą przez podmiot gospodarczy rozumie się producenta, przedstawiciela producenta, importera lub dystrybutora. W związku z przepisami rozporządzenia 2019/1020 Wnioskodawca zaproponował rozszerzenie definicji o nowe podmioty, </w:t>
            </w:r>
            <w:r w:rsidRPr="001C7DBF">
              <w:rPr>
                <w:rStyle w:val="Teksttreci20"/>
                <w:rFonts w:asciiTheme="minorHAnsi" w:eastAsiaTheme="minorHAnsi" w:hAnsiTheme="minorHAnsi" w:cstheme="minorHAnsi"/>
                <w:b/>
                <w:sz w:val="22"/>
                <w:szCs w:val="22"/>
                <w:u w:val="none"/>
              </w:rPr>
              <w:t>tj. dostawcę usług realizacji zamówień lub każdą inną osobę fizyczną lub prawną</w:t>
            </w:r>
            <w:r w:rsidRPr="001C7DBF">
              <w:rPr>
                <w:rFonts w:cstheme="minorHAnsi"/>
                <w:b/>
              </w:rPr>
              <w:t xml:space="preserve"> podlegającą obowiązkom związanym z produkcją pojazdów, przedmiotów wyposażenia lub części, wprowadzaniem ich do obrotu, udostępnianiem na rynku lub użytkowaniem zgodnie z rozporządzeniem 167/2013, rozporządzeniem 168/2013, rozporządzeniem 2018/858 lub rozporządzeniem 2019/1020. Wyjaśnienia wymaga odesłanie w projektowanej definicji do zakresu przedmiotowego oraz do rozporządzeń 167/2013, 168/2013 i 2018/858, </w:t>
            </w:r>
            <w:r w:rsidRPr="001C7DBF">
              <w:rPr>
                <w:rStyle w:val="Teksttreci20"/>
                <w:rFonts w:asciiTheme="minorHAnsi" w:eastAsiaTheme="minorHAnsi" w:hAnsiTheme="minorHAnsi" w:cstheme="minorHAnsi"/>
                <w:b/>
                <w:sz w:val="22"/>
                <w:szCs w:val="22"/>
                <w:u w:val="none"/>
              </w:rPr>
              <w:t>w których nie zmieniono definicji podmiotu gospodarczego</w:t>
            </w:r>
            <w:r w:rsidRPr="001C7DBF">
              <w:rPr>
                <w:rFonts w:cstheme="minorHAnsi"/>
                <w:b/>
              </w:rPr>
              <w:t xml:space="preserve">. Zmianie uległa jedynie definicja podmiotu gospodarczego zawarta w rozporządzeniu 2019/1020. W pozostałych ww. rozporządzeniach dotyczących homologacji pojazdów podmiot gospodarczy oznacza producenta, przedstawiciela producenta, importera lub dystrybutora. </w:t>
            </w:r>
          </w:p>
          <w:p w14:paraId="50D6DA71" w14:textId="77777777" w:rsidR="0059404D" w:rsidRPr="001C7DBF" w:rsidRDefault="0059404D" w:rsidP="0042202B">
            <w:pPr>
              <w:widowControl w:val="0"/>
              <w:numPr>
                <w:ilvl w:val="0"/>
                <w:numId w:val="2"/>
              </w:numPr>
              <w:tabs>
                <w:tab w:val="left" w:pos="740"/>
              </w:tabs>
              <w:ind w:hanging="426"/>
              <w:rPr>
                <w:rFonts w:cstheme="minorHAnsi"/>
                <w:b/>
              </w:rPr>
            </w:pPr>
            <w:r w:rsidRPr="001C7DBF">
              <w:rPr>
                <w:rFonts w:cstheme="minorHAnsi"/>
                <w:b/>
              </w:rPr>
              <w:t xml:space="preserve">Ponadto w ww. rozporządzeniach dotyczących homologacji pojazdów jest mowa o przedstawicielu producenta, a nie </w:t>
            </w:r>
            <w:r w:rsidRPr="001C7DBF">
              <w:rPr>
                <w:rFonts w:cstheme="minorHAnsi"/>
                <w:b/>
              </w:rPr>
              <w:lastRenderedPageBreak/>
              <w:t xml:space="preserve">upoważnionym przedstawicielu producenta w związku z czym wyjaśnienia wymaga dlaczego w zmienianej wersji definicji jest mowa o </w:t>
            </w:r>
            <w:r w:rsidRPr="001C7DBF">
              <w:rPr>
                <w:rStyle w:val="Teksttreci20"/>
                <w:rFonts w:asciiTheme="minorHAnsi" w:eastAsiaTheme="minorHAnsi" w:hAnsiTheme="minorHAnsi" w:cstheme="minorHAnsi"/>
                <w:b/>
                <w:sz w:val="22"/>
                <w:szCs w:val="22"/>
                <w:u w:val="none"/>
              </w:rPr>
              <w:t>upoważnionym przedstawicielu producenta</w:t>
            </w:r>
            <w:r w:rsidRPr="001C7DBF">
              <w:rPr>
                <w:rFonts w:cstheme="minorHAnsi"/>
                <w:b/>
              </w:rPr>
              <w:t xml:space="preserve">. </w:t>
            </w:r>
          </w:p>
          <w:p w14:paraId="191A55F0" w14:textId="683EEB54" w:rsidR="0059404D" w:rsidRPr="001C7DBF" w:rsidRDefault="0059404D" w:rsidP="0042202B">
            <w:pPr>
              <w:widowControl w:val="0"/>
              <w:numPr>
                <w:ilvl w:val="0"/>
                <w:numId w:val="2"/>
              </w:numPr>
              <w:tabs>
                <w:tab w:val="left" w:pos="740"/>
              </w:tabs>
              <w:ind w:hanging="426"/>
              <w:rPr>
                <w:rFonts w:cstheme="minorHAnsi"/>
                <w:b/>
              </w:rPr>
            </w:pPr>
            <w:r w:rsidRPr="001C7DBF">
              <w:rPr>
                <w:rFonts w:cstheme="minorHAnsi"/>
                <w:b/>
              </w:rPr>
              <w:t xml:space="preserve">Niejasne jest też wskazanie w zmienianej definicji na dostawcę usług realizacji zamówień, przy czym zauważa się, że jest to pojęcie, które nie jest definiowane w proponowanych regulacjach, a jego definicja jest zamieszczona w rozporządzeniu 2019/1020. Wyjaśnienie kwestii tego, co obejmuje definicja podmiotu gospodarczego jest istotne ze względu na fakt, że determinuje to katalog podmiotów, których dotyczą projektowane i zmieniane regulacje. </w:t>
            </w:r>
          </w:p>
          <w:p w14:paraId="005B5A12" w14:textId="4B9B1FA8" w:rsidR="0059404D" w:rsidRPr="001C7DBF" w:rsidRDefault="0059404D" w:rsidP="0042202B">
            <w:pPr>
              <w:widowControl w:val="0"/>
              <w:numPr>
                <w:ilvl w:val="0"/>
                <w:numId w:val="2"/>
              </w:numPr>
              <w:tabs>
                <w:tab w:val="left" w:pos="740"/>
              </w:tabs>
              <w:ind w:hanging="426"/>
              <w:rPr>
                <w:rFonts w:cstheme="minorHAnsi"/>
                <w:b/>
              </w:rPr>
            </w:pPr>
            <w:r w:rsidRPr="001C7DBF">
              <w:rPr>
                <w:rFonts w:cstheme="minorHAnsi"/>
                <w:b/>
              </w:rPr>
              <w:t>W art. 1 pkt 3 lit. b projektu zaproponowano zmianę definicji procedury krajowego indywidualnego dopuszczenia pojazdu zamieszczonej w art. 2 pkt 23 ustawy. Zgodnie z obowiązującymi przepisami ilekroć w ustawie jest mowa o procedurze krajowego indywidualnego dopuszczenia pojazdu rozumie się przez to procedurę potwierdzenia spełnienia przez dany pojazd odpowiednich warunków lub wymagań technicznych, o których mowa odpowiednio w art. 1 ust. 1 rozporządzenia</w:t>
            </w:r>
            <w:hyperlink w:history="1">
              <w:r w:rsidRPr="001C7DBF">
                <w:rPr>
                  <w:rStyle w:val="Hipercze"/>
                  <w:rFonts w:cstheme="minorHAnsi"/>
                  <w:b/>
                  <w:color w:val="auto"/>
                  <w:u w:val="none"/>
                </w:rPr>
                <w:t xml:space="preserve"> 167/2013</w:t>
              </w:r>
            </w:hyperlink>
            <w:r w:rsidRPr="001C7DBF">
              <w:rPr>
                <w:rFonts w:cstheme="minorHAnsi"/>
                <w:b/>
              </w:rPr>
              <w:t>,</w:t>
            </w:r>
            <w:hyperlink w:history="1">
              <w:r w:rsidRPr="001C7DBF">
                <w:rPr>
                  <w:rStyle w:val="Hipercze"/>
                  <w:rFonts w:cstheme="minorHAnsi"/>
                  <w:b/>
                  <w:color w:val="auto"/>
                  <w:u w:val="none"/>
                </w:rPr>
                <w:t xml:space="preserve"> art. 1 ust. 1</w:t>
              </w:r>
            </w:hyperlink>
            <w:r w:rsidRPr="001C7DBF">
              <w:rPr>
                <w:rFonts w:cstheme="minorHAnsi"/>
                <w:b/>
              </w:rPr>
              <w:t xml:space="preserve"> rozporządzenia</w:t>
            </w:r>
            <w:hyperlink w:history="1">
              <w:r w:rsidRPr="001C7DBF">
                <w:rPr>
                  <w:rStyle w:val="Hipercze"/>
                  <w:rFonts w:cstheme="minorHAnsi"/>
                  <w:b/>
                  <w:color w:val="auto"/>
                  <w:u w:val="none"/>
                </w:rPr>
                <w:t xml:space="preserve"> 168/2013 </w:t>
              </w:r>
            </w:hyperlink>
            <w:r w:rsidRPr="001C7DBF">
              <w:rPr>
                <w:rFonts w:cstheme="minorHAnsi"/>
                <w:b/>
              </w:rPr>
              <w:t xml:space="preserve">albo art. 45 rozporządzenia </w:t>
            </w:r>
            <w:hyperlink w:history="1">
              <w:r w:rsidRPr="001C7DBF">
                <w:rPr>
                  <w:rStyle w:val="Hipercze"/>
                  <w:rFonts w:cstheme="minorHAnsi"/>
                  <w:b/>
                  <w:color w:val="auto"/>
                  <w:u w:val="none"/>
                </w:rPr>
                <w:t>2018/858</w:t>
              </w:r>
            </w:hyperlink>
            <w:r w:rsidRPr="001C7DBF">
              <w:rPr>
                <w:rFonts w:cstheme="minorHAnsi"/>
                <w:b/>
              </w:rPr>
              <w:t xml:space="preserve">. W zmienionej definicji uzupełniono katalog przepisów odnoszących się również do warunków lub wymagań technicznych o „przepisy wydane na podstawie art. 68r ust. 1 albo oraz art. 66 ustawy z dnia 20 czerwca 1997 r. - Prawo o ruchu drogowym, w tym przepisy wydane na podstawie art. 66 ust. 5 tej ustawy”. Odpowiedniej korekty wymagają użyte w definicji spójniki „albo oraz”, a także odesłanie do przepisu art. 66 ustawy z dnia 20 czerwca 1997 r. - Prawo o ruchu drogowym, w tym </w:t>
            </w:r>
            <w:r w:rsidRPr="001C7DBF">
              <w:rPr>
                <w:rFonts w:cstheme="minorHAnsi"/>
                <w:b/>
              </w:rPr>
              <w:lastRenderedPageBreak/>
              <w:t xml:space="preserve">przepisów wydanych na podstawie art. 66 ust. 5 tej ustawy. Odesłanie do art. 66 powinno być doprecyzowane i wskazywać konkretne ustępy. Analogiczna uwaga w zakresie konieczności doprecyzowania odesłania do ww. art. 66 dotyczy także innych miejsc, w których takie odesłanie jest proponowane, przykładowo projektowanego i zmienianego art. 2 pkt 33 i 33a ustawy (art. 1 pkt 3 lit. c i d) oraz dodawanych art. 68b pkt 2, art. 68f ust. 1 pkt 2 i art. 68g ust. 2 pkt 2 (art. 1 pkt 10 projektu). </w:t>
            </w:r>
          </w:p>
          <w:p w14:paraId="4602A92E" w14:textId="32F29BE8" w:rsidR="0059404D" w:rsidRPr="001C7DBF" w:rsidRDefault="0059404D" w:rsidP="0042202B">
            <w:pPr>
              <w:widowControl w:val="0"/>
              <w:numPr>
                <w:ilvl w:val="0"/>
                <w:numId w:val="2"/>
              </w:numPr>
              <w:tabs>
                <w:tab w:val="left" w:pos="740"/>
              </w:tabs>
              <w:ind w:hanging="426"/>
              <w:rPr>
                <w:rFonts w:cstheme="minorHAnsi"/>
                <w:b/>
              </w:rPr>
            </w:pPr>
            <w:r w:rsidRPr="001C7DBF">
              <w:rPr>
                <w:rFonts w:cstheme="minorHAnsi"/>
                <w:b/>
              </w:rPr>
              <w:t>W art. 1 pkt 3 lit. b projektu ustawy w dodawanym do ustawy art. 2 pkt 39 wyrazy „operatorze platform” należy zastąpić wyrazami „operatorze platformy” zgodnie z definicją określoną w art. 75a ust. 1 pkt 10 ustawy z dnia 9 marca 2017 r. o wymianie informacji podatkowych z innymi państwami.</w:t>
            </w:r>
          </w:p>
        </w:tc>
        <w:tc>
          <w:tcPr>
            <w:tcW w:w="3827" w:type="dxa"/>
          </w:tcPr>
          <w:p w14:paraId="1F599274" w14:textId="6D344A69" w:rsidR="0059404D" w:rsidRPr="001F44A3" w:rsidRDefault="0059404D" w:rsidP="0042202B">
            <w:pPr>
              <w:rPr>
                <w:b/>
              </w:rPr>
            </w:pPr>
            <w:r w:rsidRPr="001C7DBF">
              <w:rPr>
                <w:b/>
              </w:rPr>
              <w:lastRenderedPageBreak/>
              <w:t>Uwaga uwzględniona – zmieniono definicję w projekcie „podmiot gospodarczy”</w:t>
            </w:r>
            <w:r>
              <w:rPr>
                <w:b/>
              </w:rPr>
              <w:t xml:space="preserve"> poprzez odwołanie do rozporządzenia 2019/1020</w:t>
            </w:r>
            <w:r w:rsidRPr="001C7DBF">
              <w:rPr>
                <w:b/>
              </w:rPr>
              <w:t xml:space="preserve"> i doprecyzowano uzasadnienie w tym zakresie</w:t>
            </w:r>
            <w:r>
              <w:rPr>
                <w:b/>
              </w:rPr>
              <w:t xml:space="preserve"> - z</w:t>
            </w:r>
            <w:r w:rsidRPr="001F44A3">
              <w:rPr>
                <w:b/>
              </w:rPr>
              <w:t>e względu na fakt, iż rozporządzenie to w zakresie swojej regulacji zawiera również trzy rozporządzenia homologacyjne: 167/2013, 168/2013, 2018/858.</w:t>
            </w:r>
          </w:p>
          <w:p w14:paraId="555CB494" w14:textId="77777777" w:rsidR="0059404D" w:rsidRPr="001F44A3" w:rsidRDefault="0059404D" w:rsidP="0042202B">
            <w:pPr>
              <w:rPr>
                <w:b/>
              </w:rPr>
            </w:pPr>
          </w:p>
          <w:p w14:paraId="01F4D067" w14:textId="561AE43D" w:rsidR="0059404D" w:rsidRPr="001C7DBF" w:rsidRDefault="0059404D" w:rsidP="0042202B">
            <w:pPr>
              <w:pStyle w:val="ZLITPKTzmpktliter"/>
              <w:spacing w:line="240" w:lineRule="auto"/>
              <w:ind w:left="28" w:firstLine="0"/>
              <w:jc w:val="left"/>
              <w:rPr>
                <w:rFonts w:asciiTheme="minorHAnsi" w:eastAsiaTheme="minorHAnsi" w:hAnsiTheme="minorHAnsi" w:cstheme="minorBidi"/>
                <w:b/>
                <w:bCs w:val="0"/>
                <w:i/>
                <w:sz w:val="22"/>
                <w:szCs w:val="22"/>
                <w:lang w:eastAsia="en-US"/>
              </w:rPr>
            </w:pPr>
            <w:r w:rsidRPr="001C7DBF">
              <w:rPr>
                <w:rFonts w:asciiTheme="minorHAnsi" w:eastAsiaTheme="minorHAnsi" w:hAnsiTheme="minorHAnsi" w:cstheme="minorBidi"/>
                <w:b/>
                <w:bCs w:val="0"/>
                <w:i/>
                <w:sz w:val="22"/>
                <w:szCs w:val="22"/>
                <w:lang w:eastAsia="en-US"/>
              </w:rPr>
              <w:t>„podmiocie gospodarczym – rozumie się przez to podmiot gospodarczy, o którym mowa w art. 3 pkt 13 rozporządzenia 2019/1020;”</w:t>
            </w:r>
          </w:p>
          <w:p w14:paraId="42E8DA91" w14:textId="7A15CF5A" w:rsidR="0059404D" w:rsidRPr="001C7DBF" w:rsidRDefault="0059404D" w:rsidP="0042202B">
            <w:pPr>
              <w:rPr>
                <w:b/>
              </w:rPr>
            </w:pPr>
          </w:p>
          <w:p w14:paraId="64BDE342" w14:textId="7C80CED1" w:rsidR="0059404D" w:rsidRPr="001C7DBF" w:rsidRDefault="0059404D" w:rsidP="0042202B">
            <w:pPr>
              <w:rPr>
                <w:b/>
              </w:rPr>
            </w:pPr>
            <w:r w:rsidRPr="001C7DBF">
              <w:rPr>
                <w:b/>
              </w:rPr>
              <w:t xml:space="preserve">Uwaga uwzględniona – usunięcie w przepisie dotyczącym definicji procedury krajowego indywidualnego dopuszczenia pojazdu odwołania do przepisów art. 66 PRD i delegacji art. 66 ust. 5 tej ustawy. </w:t>
            </w:r>
          </w:p>
          <w:p w14:paraId="7E07AF99" w14:textId="77777777" w:rsidR="0059404D" w:rsidRPr="001C7DBF" w:rsidRDefault="0059404D" w:rsidP="0042202B">
            <w:pPr>
              <w:rPr>
                <w:b/>
              </w:rPr>
            </w:pPr>
          </w:p>
          <w:p w14:paraId="1C732516" w14:textId="15CC4B25" w:rsidR="0059404D" w:rsidRPr="001C7DBF" w:rsidRDefault="0059404D" w:rsidP="0042202B">
            <w:pPr>
              <w:rPr>
                <w:b/>
              </w:rPr>
            </w:pPr>
            <w:r w:rsidRPr="001C7DBF">
              <w:rPr>
                <w:b/>
              </w:rPr>
              <w:t>Uwaga redakcyjna w zakresie operatora platform – uwzględniona:</w:t>
            </w:r>
          </w:p>
          <w:p w14:paraId="451F6AA5" w14:textId="614B0359" w:rsidR="0059404D" w:rsidRPr="001C7DBF" w:rsidRDefault="0059404D" w:rsidP="0042202B">
            <w:pPr>
              <w:rPr>
                <w:b/>
                <w:i/>
              </w:rPr>
            </w:pPr>
            <w:r w:rsidRPr="001C7DBF">
              <w:rPr>
                <w:rFonts w:cstheme="minorHAnsi"/>
                <w:b/>
                <w:i/>
              </w:rPr>
              <w:t>„operatorze platformy”</w:t>
            </w:r>
          </w:p>
          <w:p w14:paraId="64D3B01A" w14:textId="63C45542" w:rsidR="0059404D" w:rsidRPr="001C7DBF" w:rsidRDefault="0059404D" w:rsidP="0042202B">
            <w:pPr>
              <w:rPr>
                <w:b/>
              </w:rPr>
            </w:pPr>
          </w:p>
        </w:tc>
        <w:tc>
          <w:tcPr>
            <w:tcW w:w="3686" w:type="dxa"/>
          </w:tcPr>
          <w:p w14:paraId="34B6F4E4"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1FB309F7"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29E37C9F" w14:textId="77777777" w:rsidR="007B6387" w:rsidRDefault="007B6387" w:rsidP="0042202B">
            <w:pPr>
              <w:rPr>
                <w:b/>
              </w:rPr>
            </w:pPr>
          </w:p>
          <w:p w14:paraId="0897ED64" w14:textId="1DDB5980" w:rsidR="007B6387" w:rsidRPr="001C7DBF" w:rsidRDefault="007B6387" w:rsidP="0042202B">
            <w:pPr>
              <w:rPr>
                <w:b/>
              </w:rPr>
            </w:pPr>
            <w:r>
              <w:rPr>
                <w:rFonts w:cstheme="minorHAnsi"/>
                <w:b/>
                <w:color w:val="0070C0"/>
                <w:u w:val="single"/>
              </w:rPr>
              <w:t xml:space="preserve">Analogicznie </w:t>
            </w:r>
            <w:r w:rsidRPr="007B6387">
              <w:rPr>
                <w:rFonts w:cstheme="minorHAnsi"/>
                <w:b/>
                <w:color w:val="0070C0"/>
                <w:u w:val="single"/>
              </w:rPr>
              <w:t>pkt 1</w:t>
            </w:r>
          </w:p>
        </w:tc>
      </w:tr>
      <w:tr w:rsidR="0059404D" w:rsidRPr="00F515D6" w14:paraId="7F66D570" w14:textId="477ACEDF" w:rsidTr="00D76FE7">
        <w:tc>
          <w:tcPr>
            <w:tcW w:w="562" w:type="dxa"/>
          </w:tcPr>
          <w:p w14:paraId="3086CB5D" w14:textId="2C5558B0" w:rsidR="0059404D" w:rsidRPr="001C7DBF" w:rsidRDefault="0059404D" w:rsidP="0042202B">
            <w:pPr>
              <w:rPr>
                <w:rFonts w:cstheme="minorHAnsi"/>
                <w:b/>
              </w:rPr>
            </w:pPr>
            <w:r w:rsidRPr="001C7DBF">
              <w:rPr>
                <w:rFonts w:cstheme="minorHAnsi"/>
                <w:b/>
              </w:rPr>
              <w:lastRenderedPageBreak/>
              <w:t>3</w:t>
            </w:r>
          </w:p>
        </w:tc>
        <w:tc>
          <w:tcPr>
            <w:tcW w:w="993" w:type="dxa"/>
          </w:tcPr>
          <w:p w14:paraId="24811814" w14:textId="77777777" w:rsidR="0059404D" w:rsidRDefault="0059404D" w:rsidP="0042202B">
            <w:pPr>
              <w:rPr>
                <w:rFonts w:cstheme="minorHAnsi"/>
                <w:b/>
              </w:rPr>
            </w:pPr>
            <w:r w:rsidRPr="001C7DBF">
              <w:rPr>
                <w:rFonts w:cstheme="minorHAnsi"/>
                <w:b/>
              </w:rPr>
              <w:t xml:space="preserve">RCL </w:t>
            </w:r>
          </w:p>
          <w:p w14:paraId="709699FF" w14:textId="41598A0C" w:rsidR="0059404D" w:rsidRDefault="0059404D" w:rsidP="0042202B">
            <w:pPr>
              <w:rPr>
                <w:rFonts w:cstheme="minorHAnsi"/>
                <w:b/>
                <w:color w:val="00B050"/>
              </w:rPr>
            </w:pPr>
            <w:r>
              <w:rPr>
                <w:rFonts w:cstheme="minorHAnsi"/>
                <w:b/>
                <w:color w:val="00B050"/>
              </w:rPr>
              <w:t>+ uwaga 82-83, 105 MFiG</w:t>
            </w:r>
          </w:p>
          <w:p w14:paraId="3E3481E2" w14:textId="2311BCBD" w:rsidR="0059404D" w:rsidRPr="00A74267" w:rsidRDefault="0059404D" w:rsidP="0042202B">
            <w:pPr>
              <w:rPr>
                <w:rFonts w:cstheme="minorHAnsi"/>
                <w:b/>
                <w:color w:val="00B050"/>
              </w:rPr>
            </w:pPr>
          </w:p>
        </w:tc>
        <w:tc>
          <w:tcPr>
            <w:tcW w:w="1701" w:type="dxa"/>
          </w:tcPr>
          <w:p w14:paraId="7F677F6F" w14:textId="1DF0F05A" w:rsidR="0059404D" w:rsidRPr="001C7DBF" w:rsidRDefault="0059404D" w:rsidP="0042202B">
            <w:pPr>
              <w:rPr>
                <w:rFonts w:cstheme="minorHAnsi"/>
                <w:b/>
              </w:rPr>
            </w:pPr>
            <w:r w:rsidRPr="001C7DBF">
              <w:rPr>
                <w:rFonts w:cstheme="minorHAnsi"/>
                <w:b/>
              </w:rPr>
              <w:t>Art. 3 ust. 3 UH</w:t>
            </w:r>
          </w:p>
        </w:tc>
        <w:tc>
          <w:tcPr>
            <w:tcW w:w="5953" w:type="dxa"/>
          </w:tcPr>
          <w:p w14:paraId="301B57C4" w14:textId="37472DBE" w:rsidR="0059404D" w:rsidRPr="001C7DBF" w:rsidRDefault="0059404D" w:rsidP="0042202B">
            <w:pPr>
              <w:widowControl w:val="0"/>
              <w:numPr>
                <w:ilvl w:val="0"/>
                <w:numId w:val="2"/>
              </w:numPr>
              <w:tabs>
                <w:tab w:val="left" w:pos="735"/>
              </w:tabs>
              <w:ind w:hanging="425"/>
              <w:rPr>
                <w:rFonts w:cstheme="minorHAnsi"/>
                <w:b/>
              </w:rPr>
            </w:pPr>
            <w:r w:rsidRPr="001C7DBF">
              <w:rPr>
                <w:rFonts w:cstheme="minorHAnsi"/>
                <w:b/>
              </w:rPr>
              <w:t xml:space="preserve">Art. 1 pkt 4 lit. c projektu zawiera zmianę brzmienia art. 3 ust. 3 ustawy dotyczącego właściwości Dyrektora TDT jako organu nadzoru rynku. W projektowanym przepisie doprecyzowano i rozszerzono zakres nadzoru rynku pełnionego przez Dyrektora TDT w odniesieniu do krajowego indywidualnego dopuszczenia pojazdu niebędącego nowym pojazdem, jak również ustanowiono Dyrektora TDT organem nadzoru rynku w zakresie spełniania przez hulajnogi elektryczne warunków technicznych określonych dla tych pojazdów w rozporządzeniu Ministra Infrastruktury z dnia 31 grudnia 2002 r. w sprawie warunków technicznych pojazdów oraz zakresu ich niezbędnego wyposażenia. W porównaniu z obecnie obowiązującym przepisem zrezygnowano ze wskazania przepisów rozporządzenia 2019/1020 dotyczących zasad i procedur w odniesieniu do systemów homologacji, a także </w:t>
            </w:r>
            <w:r w:rsidRPr="001C7DBF">
              <w:rPr>
                <w:rFonts w:cstheme="minorHAnsi"/>
                <w:b/>
              </w:rPr>
              <w:lastRenderedPageBreak/>
              <w:t xml:space="preserve">krajowego indywidualnego dopuszczenia pojazdu niebędącego nowym pojazdem, co w ocenie RCL budzi zastrzeżenia i wymaga korekty. </w:t>
            </w:r>
          </w:p>
          <w:p w14:paraId="40B2B59A" w14:textId="77777777" w:rsidR="0059404D" w:rsidRPr="001C7DBF" w:rsidRDefault="0059404D" w:rsidP="0042202B">
            <w:pPr>
              <w:widowControl w:val="0"/>
              <w:numPr>
                <w:ilvl w:val="0"/>
                <w:numId w:val="2"/>
              </w:numPr>
              <w:tabs>
                <w:tab w:val="left" w:pos="735"/>
              </w:tabs>
              <w:ind w:hanging="425"/>
              <w:rPr>
                <w:rFonts w:cstheme="minorHAnsi"/>
                <w:b/>
              </w:rPr>
            </w:pPr>
          </w:p>
          <w:p w14:paraId="1C620789" w14:textId="6B9E39C6" w:rsidR="0059404D" w:rsidRPr="001C7DBF" w:rsidRDefault="0059404D" w:rsidP="0042202B">
            <w:pPr>
              <w:widowControl w:val="0"/>
              <w:numPr>
                <w:ilvl w:val="0"/>
                <w:numId w:val="2"/>
              </w:numPr>
              <w:tabs>
                <w:tab w:val="left" w:pos="735"/>
              </w:tabs>
              <w:ind w:hanging="425"/>
              <w:rPr>
                <w:rFonts w:cstheme="minorHAnsi"/>
                <w:b/>
              </w:rPr>
            </w:pPr>
            <w:r w:rsidRPr="001C7DBF">
              <w:rPr>
                <w:rFonts w:cstheme="minorHAnsi"/>
                <w:b/>
              </w:rPr>
              <w:t>W odniesieniu do hulajnóg elektrycznych zamiast wskazywania poszczególnych przepisów wspomnianego rozporządzenia Ministra Infrastruktury właściwsze wydaje się użycie ogólnego, ale zakresowego odesłania do przepisów wydanych na podstawie art.</w:t>
            </w:r>
            <w:hyperlink w:history="1">
              <w:r w:rsidRPr="001C7DBF">
                <w:rPr>
                  <w:rStyle w:val="Hipercze"/>
                  <w:rFonts w:cstheme="minorHAnsi"/>
                  <w:b/>
                  <w:color w:val="auto"/>
                  <w:u w:val="none"/>
                </w:rPr>
                <w:t xml:space="preserve"> 66 ust. 5 </w:t>
              </w:r>
            </w:hyperlink>
            <w:r w:rsidRPr="001C7DBF">
              <w:rPr>
                <w:rFonts w:cstheme="minorHAnsi"/>
                <w:b/>
              </w:rPr>
              <w:t>ustawy z dnia 20 czerwca 1997 r. - Prawo o ruchu drogowym.</w:t>
            </w:r>
          </w:p>
          <w:p w14:paraId="4090B857" w14:textId="77777777" w:rsidR="0059404D" w:rsidRPr="001C7DBF" w:rsidRDefault="0059404D" w:rsidP="0042202B">
            <w:pPr>
              <w:autoSpaceDE w:val="0"/>
              <w:autoSpaceDN w:val="0"/>
              <w:adjustRightInd w:val="0"/>
              <w:rPr>
                <w:rFonts w:cstheme="minorHAnsi"/>
                <w:b/>
              </w:rPr>
            </w:pPr>
          </w:p>
        </w:tc>
        <w:tc>
          <w:tcPr>
            <w:tcW w:w="3827" w:type="dxa"/>
          </w:tcPr>
          <w:p w14:paraId="6AACEC34" w14:textId="040B9BB7" w:rsidR="0059404D" w:rsidRPr="001C7DBF" w:rsidRDefault="0059404D" w:rsidP="0042202B">
            <w:pPr>
              <w:rPr>
                <w:rFonts w:cstheme="minorHAnsi"/>
                <w:b/>
              </w:rPr>
            </w:pPr>
            <w:r w:rsidRPr="001C7DBF">
              <w:rPr>
                <w:rFonts w:cstheme="minorHAnsi"/>
                <w:b/>
              </w:rPr>
              <w:lastRenderedPageBreak/>
              <w:t xml:space="preserve">Uwaga wyjaśniona </w:t>
            </w:r>
            <w:r w:rsidRPr="001C7DBF">
              <w:rPr>
                <w:b/>
              </w:rPr>
              <w:t xml:space="preserve">– </w:t>
            </w:r>
            <w:r w:rsidRPr="001C7DBF">
              <w:rPr>
                <w:rFonts w:cstheme="minorHAnsi"/>
                <w:b/>
              </w:rPr>
              <w:t xml:space="preserve">w projektowanym art. 3 ust. 3 zaproponowano rozszerzenie kompetencji Dyrektora TDT, w ramach których korzysta on z przepisów rozporządzenia 2019/1020. I tak, w miejsce konkretnych przepisów tego rozporządzenia zastosowano zapis </w:t>
            </w:r>
          </w:p>
          <w:p w14:paraId="3305E95C" w14:textId="06EE781D" w:rsidR="0059404D" w:rsidRPr="001C7DBF" w:rsidRDefault="0059404D" w:rsidP="0042202B">
            <w:pPr>
              <w:rPr>
                <w:rFonts w:cstheme="minorHAnsi"/>
                <w:b/>
                <w:i/>
              </w:rPr>
            </w:pPr>
            <w:r w:rsidRPr="001C7DBF">
              <w:rPr>
                <w:rFonts w:cstheme="minorHAnsi"/>
                <w:b/>
                <w:i/>
              </w:rPr>
              <w:t xml:space="preserve">„zgodnie z zasadami i procedurami </w:t>
            </w:r>
            <w:r w:rsidRPr="001C7DBF">
              <w:rPr>
                <w:rFonts w:cstheme="minorHAnsi"/>
                <w:b/>
                <w:bCs/>
                <w:i/>
              </w:rPr>
              <w:t>określonymi w rozporządzeniu</w:t>
            </w:r>
            <w:r w:rsidRPr="001C7DBF">
              <w:rPr>
                <w:rFonts w:cstheme="minorHAnsi"/>
                <w:b/>
                <w:i/>
              </w:rPr>
              <w:t xml:space="preserve"> 2019/1020”. </w:t>
            </w:r>
          </w:p>
          <w:p w14:paraId="04D64588" w14:textId="0582A643" w:rsidR="0059404D" w:rsidRPr="001C7DBF" w:rsidRDefault="0059404D" w:rsidP="0042202B">
            <w:pPr>
              <w:rPr>
                <w:rFonts w:cstheme="minorHAnsi"/>
                <w:b/>
              </w:rPr>
            </w:pPr>
            <w:r w:rsidRPr="001C7DBF">
              <w:rPr>
                <w:rFonts w:cstheme="minorHAnsi"/>
                <w:b/>
              </w:rPr>
              <w:t xml:space="preserve">Powyższe podyktowane jest faktem, iż od 2022 r. w Ministerstwie Rozwoju i Technologii (MRiT) procedowany jest projekt ustawy o nadzorze nad spełnianiem wymagań dotyczących </w:t>
            </w:r>
            <w:r w:rsidRPr="001C7DBF">
              <w:rPr>
                <w:rFonts w:cstheme="minorHAnsi"/>
                <w:b/>
              </w:rPr>
              <w:lastRenderedPageBreak/>
              <w:t xml:space="preserve">produktów (UC 113, a obecnie UC45), która ma na celu ustanowienie ramowych zasad funkcjonowania i organizacji krajowego systemu nadzoru rynku produktów objętych unijnym prawodawstwem harmonizacyjnym w ramach wdrożenia rozporządzenia Parlamentu Europejskiego i Rady (UE) 2019/1020 z dnia 20 czerwca 2019 r. w sprawie nadzoru rynku i zgodności produktów oraz zmieniającego dyrektywę 2004/42/WE oraz rozporządzenia (WE) nr 765/2008 i (UE) nr 305/2011 (Dz. Urz. UE L 169 z 25.06.2019, str. 1, z późn. zm.). </w:t>
            </w:r>
          </w:p>
          <w:p w14:paraId="2B3618BC" w14:textId="77777777" w:rsidR="0059404D" w:rsidRPr="001C7DBF" w:rsidRDefault="0059404D" w:rsidP="0042202B">
            <w:pPr>
              <w:rPr>
                <w:rFonts w:cstheme="minorHAnsi"/>
                <w:b/>
              </w:rPr>
            </w:pPr>
            <w:r w:rsidRPr="001C7DBF">
              <w:rPr>
                <w:rFonts w:cstheme="minorHAnsi"/>
                <w:b/>
              </w:rPr>
              <w:t xml:space="preserve">Projekt MRiT zawierał również regulacje dotyczące sektorowych sankcji administracyjnych, które będą mogły zostać zastosowane przez Dyrektora TDT, działającego jako organ nadzoru rynku w ramach procedur homologacyjnych. Należy wskazać, że na etapie procedowania ustawy homologacyjnej została podjęta decyzja o wyłączeniu z jej zakresu procedur dotyczących nadzoru rynku i sankcji z uwagi na równolegle (wówczas) procedowany systemowy w obszarze nadzoru rynku ww. projekt </w:t>
            </w:r>
            <w:r w:rsidRPr="001C7DBF">
              <w:rPr>
                <w:rFonts w:cstheme="minorHAnsi"/>
                <w:b/>
              </w:rPr>
              <w:lastRenderedPageBreak/>
              <w:t xml:space="preserve">MRiT. Jednakże prace nad projektem ustawy MRiT nie zakończyły się do chwili obecnej, a ustawa homologacyjna weszła w życie z dniem 1 lipca 2023 r., uchylając obowiązujące wówczas przepisy PRD w zakresie m.in. procedury działania Dyrektora TDT w przypadku wycofania pojazdu z obrotu oraz administracyjnych kar pieniężnych. </w:t>
            </w:r>
          </w:p>
          <w:p w14:paraId="555FA778" w14:textId="77777777" w:rsidR="0059404D" w:rsidRPr="001C7DBF" w:rsidRDefault="0059404D" w:rsidP="0042202B">
            <w:pPr>
              <w:rPr>
                <w:rFonts w:cstheme="minorHAnsi"/>
                <w:b/>
              </w:rPr>
            </w:pPr>
            <w:r w:rsidRPr="001C7DBF">
              <w:rPr>
                <w:rFonts w:cstheme="minorHAnsi"/>
                <w:b/>
              </w:rPr>
              <w:t xml:space="preserve">Wobec powyższego konieczne jest opracowanie przez Ministerstwo Infrastruktury regulacji prawnych umożliwiających Dyrektorowi TDT efektywne i całościowe procedowanie spraw w ramach sprawowanego nadzoru rynku (w tym w ramach rozporządzenia 2019/1020), oraz możliwości stosowania konkretnych sankcji administracyjnych, które zgodnie z prawem UE winny być nakładane wobec producentów, importerów, dystrybutorów zarówno pojazdów, jak i przedmiotów wyposażenia i części, w przypadku naruszenia obowiązków wynikających z rozporządzeń: 167/2013, 168/2013 i 2018/858, a także pozostałych aktów prawnych, dla których Dyrektor TDT </w:t>
            </w:r>
            <w:r w:rsidRPr="001C7DBF">
              <w:rPr>
                <w:rFonts w:cstheme="minorHAnsi"/>
                <w:b/>
              </w:rPr>
              <w:lastRenderedPageBreak/>
              <w:t>jest właściwy jako organ nadzoru rynku, zgodnie z art. 3 ust. 3 ustawy homologacyjnej.</w:t>
            </w:r>
          </w:p>
          <w:p w14:paraId="4A498D64" w14:textId="77777777" w:rsidR="0059404D" w:rsidRPr="001C7DBF" w:rsidRDefault="0059404D" w:rsidP="0042202B">
            <w:pPr>
              <w:rPr>
                <w:rFonts w:cstheme="minorHAnsi"/>
                <w:b/>
              </w:rPr>
            </w:pPr>
          </w:p>
          <w:p w14:paraId="1BA761FD" w14:textId="068D18C9" w:rsidR="0059404D" w:rsidRPr="001C7DBF" w:rsidRDefault="0059404D" w:rsidP="0042202B">
            <w:pPr>
              <w:rPr>
                <w:rFonts w:cstheme="minorHAnsi"/>
                <w:b/>
              </w:rPr>
            </w:pPr>
            <w:r w:rsidRPr="001C7DBF">
              <w:rPr>
                <w:rFonts w:cstheme="minorHAnsi"/>
                <w:b/>
              </w:rPr>
              <w:t xml:space="preserve">Uwaga uwzględniona w zakresie odesłania do art. 66 ust. 5 PRD w kontekście hulajnóg elektrycznych, a nie konkretnych przepisów rozporządzenia w sprawie warunków technicznych pojazdów. </w:t>
            </w:r>
          </w:p>
        </w:tc>
        <w:tc>
          <w:tcPr>
            <w:tcW w:w="3686" w:type="dxa"/>
          </w:tcPr>
          <w:p w14:paraId="7195E5CF"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75C50CFD" w14:textId="7C260EF4" w:rsidR="0059404D" w:rsidRDefault="00886B1B" w:rsidP="0042202B">
            <w:pPr>
              <w:rPr>
                <w:rFonts w:cstheme="minorHAnsi"/>
                <w:b/>
              </w:rPr>
            </w:pPr>
            <w:r>
              <w:rPr>
                <w:rFonts w:cstheme="minorHAnsi"/>
                <w:b/>
              </w:rPr>
              <w:t xml:space="preserve">nr </w:t>
            </w:r>
            <w:r w:rsidRPr="00886B1B">
              <w:rPr>
                <w:rFonts w:cstheme="minorHAnsi"/>
                <w:b/>
              </w:rPr>
              <w:t>RCL.DPŚI.550.20.2025</w:t>
            </w:r>
          </w:p>
          <w:p w14:paraId="5B189144" w14:textId="5889BA63" w:rsidR="007B6387" w:rsidRDefault="007B6387" w:rsidP="0042202B">
            <w:pPr>
              <w:rPr>
                <w:rFonts w:cstheme="minorHAnsi"/>
                <w:b/>
              </w:rPr>
            </w:pPr>
          </w:p>
          <w:p w14:paraId="36C05C41" w14:textId="0C9FFFDC"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FD903F9" w14:textId="77777777" w:rsidR="007B6387" w:rsidRDefault="007B6387" w:rsidP="0042202B">
            <w:pPr>
              <w:rPr>
                <w:rFonts w:cstheme="minorHAnsi"/>
                <w:b/>
              </w:rPr>
            </w:pPr>
          </w:p>
          <w:p w14:paraId="4D5F2E08" w14:textId="23903F4C" w:rsidR="007B6387" w:rsidRPr="001C7DBF" w:rsidRDefault="007B6387" w:rsidP="0042202B">
            <w:pPr>
              <w:rPr>
                <w:rFonts w:cstheme="minorHAnsi"/>
                <w:b/>
              </w:rPr>
            </w:pPr>
          </w:p>
        </w:tc>
      </w:tr>
      <w:tr w:rsidR="0059404D" w:rsidRPr="00F515D6" w14:paraId="2B80797F" w14:textId="5775CDC2" w:rsidTr="00D76FE7">
        <w:tc>
          <w:tcPr>
            <w:tcW w:w="562" w:type="dxa"/>
          </w:tcPr>
          <w:p w14:paraId="2717222D" w14:textId="61383260" w:rsidR="0059404D" w:rsidRPr="001C7DBF" w:rsidRDefault="0059404D" w:rsidP="0042202B">
            <w:pPr>
              <w:rPr>
                <w:rFonts w:cstheme="minorHAnsi"/>
                <w:b/>
              </w:rPr>
            </w:pPr>
            <w:r w:rsidRPr="001C7DBF">
              <w:rPr>
                <w:rFonts w:cstheme="minorHAnsi"/>
                <w:b/>
              </w:rPr>
              <w:lastRenderedPageBreak/>
              <w:t>4</w:t>
            </w:r>
          </w:p>
        </w:tc>
        <w:tc>
          <w:tcPr>
            <w:tcW w:w="993" w:type="dxa"/>
          </w:tcPr>
          <w:p w14:paraId="495C5F30" w14:textId="779B7ADE" w:rsidR="0059404D" w:rsidRDefault="0059404D" w:rsidP="0042202B">
            <w:pPr>
              <w:rPr>
                <w:rFonts w:cstheme="minorHAnsi"/>
                <w:b/>
              </w:rPr>
            </w:pPr>
            <w:r w:rsidRPr="001C7DBF">
              <w:rPr>
                <w:rFonts w:cstheme="minorHAnsi"/>
                <w:b/>
              </w:rPr>
              <w:t>RCL</w:t>
            </w:r>
          </w:p>
          <w:p w14:paraId="77BC9D8F" w14:textId="7ACB1753" w:rsidR="0059404D" w:rsidRDefault="0059404D" w:rsidP="0042202B">
            <w:pPr>
              <w:rPr>
                <w:rFonts w:cstheme="minorHAnsi"/>
                <w:b/>
                <w:color w:val="00B050"/>
              </w:rPr>
            </w:pPr>
            <w:r>
              <w:rPr>
                <w:rFonts w:cstheme="minorHAnsi"/>
                <w:b/>
                <w:color w:val="00B050"/>
              </w:rPr>
              <w:t>+ uwaga 43 MC</w:t>
            </w:r>
          </w:p>
          <w:p w14:paraId="3609655C" w14:textId="77777777" w:rsidR="0059404D" w:rsidRDefault="0059404D" w:rsidP="0042202B">
            <w:pPr>
              <w:rPr>
                <w:rFonts w:cstheme="minorHAnsi"/>
                <w:b/>
                <w:color w:val="00B050"/>
              </w:rPr>
            </w:pPr>
          </w:p>
          <w:p w14:paraId="3D86CED2" w14:textId="19F57116" w:rsidR="0059404D" w:rsidRPr="001C7DBF" w:rsidRDefault="0059404D" w:rsidP="0042202B">
            <w:pPr>
              <w:rPr>
                <w:rFonts w:cstheme="minorHAnsi"/>
                <w:b/>
              </w:rPr>
            </w:pPr>
            <w:r>
              <w:rPr>
                <w:rFonts w:cstheme="minorHAnsi"/>
                <w:b/>
                <w:color w:val="00B050"/>
              </w:rPr>
              <w:t>+ uwaga 122 MS</w:t>
            </w:r>
          </w:p>
        </w:tc>
        <w:tc>
          <w:tcPr>
            <w:tcW w:w="1701" w:type="dxa"/>
          </w:tcPr>
          <w:p w14:paraId="77B92A26" w14:textId="183B9922" w:rsidR="0059404D" w:rsidRPr="001C7DBF" w:rsidRDefault="0059404D" w:rsidP="0042202B">
            <w:pPr>
              <w:rPr>
                <w:rFonts w:cstheme="minorHAnsi"/>
                <w:b/>
              </w:rPr>
            </w:pPr>
            <w:r w:rsidRPr="001C7DBF">
              <w:rPr>
                <w:rFonts w:cstheme="minorHAnsi"/>
                <w:b/>
              </w:rPr>
              <w:t>Art. 3 ust. 4 UH</w:t>
            </w:r>
          </w:p>
        </w:tc>
        <w:tc>
          <w:tcPr>
            <w:tcW w:w="5953" w:type="dxa"/>
          </w:tcPr>
          <w:p w14:paraId="3390BAC6" w14:textId="77777777" w:rsidR="0059404D" w:rsidRPr="001C7DBF" w:rsidRDefault="0059404D" w:rsidP="0042202B">
            <w:pPr>
              <w:widowControl w:val="0"/>
              <w:tabs>
                <w:tab w:val="left" w:pos="750"/>
              </w:tabs>
              <w:rPr>
                <w:rFonts w:cstheme="minorHAnsi"/>
                <w:b/>
              </w:rPr>
            </w:pPr>
            <w:r w:rsidRPr="001C7DBF">
              <w:rPr>
                <w:rFonts w:cstheme="minorHAnsi"/>
                <w:b/>
              </w:rPr>
              <w:t xml:space="preserve">Wątpliwości budzi art. 1 pkt 4 lit. d projektu, w którym dodaje się ust. 4 w art. 3 ustawy, zgodnie z którym organy administracji rządowej i samorządowej, państwowe osoby prawne oraz państwowe i samorządowe jednostki organizacyjne są obowiązane </w:t>
            </w:r>
            <w:r w:rsidRPr="001C7DBF">
              <w:rPr>
                <w:rStyle w:val="Teksttreci20"/>
                <w:rFonts w:asciiTheme="minorHAnsi" w:eastAsiaTheme="minorHAnsi" w:hAnsiTheme="minorHAnsi" w:cstheme="minorHAnsi"/>
                <w:b/>
                <w:sz w:val="22"/>
                <w:szCs w:val="22"/>
                <w:u w:val="none"/>
              </w:rPr>
              <w:t>współdziałać</w:t>
            </w:r>
            <w:r w:rsidRPr="001C7DBF">
              <w:rPr>
                <w:rFonts w:cstheme="minorHAnsi"/>
                <w:b/>
              </w:rPr>
              <w:t xml:space="preserve"> z Dyrektorem TDT, </w:t>
            </w:r>
            <w:r w:rsidRPr="001C7DBF">
              <w:rPr>
                <w:rStyle w:val="Teksttreci20"/>
                <w:rFonts w:asciiTheme="minorHAnsi" w:eastAsiaTheme="minorHAnsi" w:hAnsiTheme="minorHAnsi" w:cstheme="minorHAnsi"/>
                <w:b/>
                <w:sz w:val="22"/>
                <w:szCs w:val="22"/>
                <w:u w:val="none"/>
              </w:rPr>
              <w:t>nieodpłatnie udostępniać Dyrektorowi TDT informacje w sprawach indywidualnych oraz udzielać mu pomocy, w tym pomocy technicznej, przy wykonywaniu jego zadań wynikających z ustawy,</w:t>
            </w:r>
            <w:r w:rsidRPr="001C7DBF">
              <w:rPr>
                <w:rFonts w:cstheme="minorHAnsi"/>
                <w:b/>
              </w:rPr>
              <w:t xml:space="preserve"> gdyż jest on niejasny i nieprecyzyjny. Z przepisu tego nie wynika na czym miałoby polegać ww. współdziałanie i pomoc, w tym pomoc techniczna, oraz czego miałyby dotyczyć udostępniane informacje. Przepis ten wymaga uzupełnienia w ww. zakresie.</w:t>
            </w:r>
          </w:p>
          <w:p w14:paraId="1592E82C" w14:textId="77777777" w:rsidR="0059404D" w:rsidRPr="001C7DBF" w:rsidRDefault="0059404D" w:rsidP="0042202B">
            <w:pPr>
              <w:autoSpaceDE w:val="0"/>
              <w:autoSpaceDN w:val="0"/>
              <w:adjustRightInd w:val="0"/>
              <w:rPr>
                <w:rFonts w:cstheme="minorHAnsi"/>
                <w:b/>
              </w:rPr>
            </w:pPr>
          </w:p>
        </w:tc>
        <w:tc>
          <w:tcPr>
            <w:tcW w:w="3827" w:type="dxa"/>
          </w:tcPr>
          <w:p w14:paraId="4BC183BA" w14:textId="0A1791B0" w:rsidR="0059404D" w:rsidRPr="001C7DBF" w:rsidRDefault="0059404D" w:rsidP="0042202B">
            <w:pPr>
              <w:pStyle w:val="ZLITUSTzmustliter"/>
              <w:spacing w:line="240" w:lineRule="auto"/>
              <w:ind w:left="0" w:firstLine="0"/>
              <w:jc w:val="left"/>
              <w:rPr>
                <w:rStyle w:val="Teksttreci20"/>
                <w:rFonts w:asciiTheme="minorHAnsi" w:eastAsiaTheme="minorHAnsi" w:hAnsiTheme="minorHAnsi" w:cstheme="minorHAnsi"/>
                <w:b/>
                <w:bCs w:val="0"/>
                <w:sz w:val="22"/>
                <w:szCs w:val="22"/>
                <w:u w:val="none"/>
              </w:rPr>
            </w:pPr>
            <w:bookmarkStart w:id="4" w:name="_Hlk219303375"/>
            <w:r w:rsidRPr="001C7DBF">
              <w:rPr>
                <w:rStyle w:val="Teksttreci20"/>
                <w:rFonts w:asciiTheme="minorHAnsi" w:eastAsiaTheme="minorHAnsi" w:hAnsiTheme="minorHAnsi" w:cstheme="minorHAnsi"/>
                <w:b/>
                <w:bCs w:val="0"/>
                <w:sz w:val="22"/>
                <w:szCs w:val="22"/>
                <w:u w:val="none"/>
              </w:rPr>
              <w:t xml:space="preserve">Uwaga uwzględniona poprzez doprecyzowanie – propozycja zmiany zgodnie z uwagą Ministra Sprawiedliwości: </w:t>
            </w:r>
          </w:p>
          <w:p w14:paraId="4C672197" w14:textId="313A213D" w:rsidR="0059404D" w:rsidRPr="001C7DBF" w:rsidRDefault="0059404D" w:rsidP="0042202B">
            <w:pPr>
              <w:pStyle w:val="ZLITUSTzmustliter"/>
              <w:spacing w:line="240" w:lineRule="auto"/>
              <w:ind w:left="0" w:firstLine="0"/>
              <w:jc w:val="left"/>
              <w:rPr>
                <w:rFonts w:asciiTheme="minorHAnsi" w:eastAsiaTheme="minorHAnsi" w:hAnsiTheme="minorHAnsi" w:cstheme="minorHAnsi"/>
                <w:b/>
                <w:bCs w:val="0"/>
                <w:i/>
                <w:color w:val="000000"/>
                <w:sz w:val="22"/>
                <w:szCs w:val="22"/>
                <w:lang w:bidi="pl-PL"/>
              </w:rPr>
            </w:pPr>
            <w:bookmarkStart w:id="5" w:name="_Hlk219899054"/>
            <w:r w:rsidRPr="001C7DBF">
              <w:rPr>
                <w:rStyle w:val="Teksttreci20"/>
                <w:rFonts w:asciiTheme="minorHAnsi" w:eastAsiaTheme="minorHAnsi" w:hAnsiTheme="minorHAnsi" w:cstheme="minorHAnsi"/>
                <w:b/>
                <w:bCs w:val="0"/>
                <w:sz w:val="22"/>
                <w:szCs w:val="22"/>
                <w:u w:val="none"/>
              </w:rPr>
              <w:t>„</w:t>
            </w:r>
            <w:r w:rsidRPr="001C7DBF">
              <w:rPr>
                <w:rStyle w:val="Teksttreci20"/>
                <w:rFonts w:asciiTheme="minorHAnsi" w:eastAsiaTheme="minorHAnsi" w:hAnsiTheme="minorHAnsi" w:cstheme="minorHAnsi"/>
                <w:b/>
                <w:bCs w:val="0"/>
                <w:i/>
                <w:sz w:val="22"/>
                <w:szCs w:val="22"/>
                <w:u w:val="none"/>
              </w:rPr>
              <w:t xml:space="preserve">4. Organy administracji rządowej i samorządowej, państwowe osoby prawne oraz państwowe i samorządowe jednostki organizacyjne są obowiązane współdziałać z Dyrektorem TDT wyłącznie w zakresie swojej właściwości,  nieodpłatnie udostępniać Dyrektorowi TDT informacje w sprawach indywidualnych oraz udzielać mu pomocy, w tym pomocy technicznej przy wykonywaniu jego zadań wynikających z ustawy, </w:t>
            </w:r>
            <w:bookmarkStart w:id="6" w:name="_Hlk214629290"/>
            <w:r w:rsidRPr="001C7DBF">
              <w:rPr>
                <w:rStyle w:val="Teksttreci20"/>
                <w:rFonts w:asciiTheme="minorHAnsi" w:eastAsiaTheme="minorHAnsi" w:hAnsiTheme="minorHAnsi" w:cstheme="minorHAnsi"/>
                <w:b/>
                <w:bCs w:val="0"/>
                <w:i/>
                <w:sz w:val="22"/>
                <w:szCs w:val="22"/>
                <w:u w:val="none"/>
              </w:rPr>
              <w:t xml:space="preserve">z uwzględnieniem realnych możliwości </w:t>
            </w:r>
            <w:r w:rsidRPr="001C7DBF">
              <w:rPr>
                <w:rStyle w:val="Teksttreci20"/>
                <w:rFonts w:asciiTheme="minorHAnsi" w:eastAsiaTheme="minorHAnsi" w:hAnsiTheme="minorHAnsi" w:cstheme="minorHAnsi"/>
                <w:b/>
                <w:bCs w:val="0"/>
                <w:i/>
                <w:sz w:val="22"/>
                <w:szCs w:val="22"/>
                <w:u w:val="none"/>
              </w:rPr>
              <w:lastRenderedPageBreak/>
              <w:t>organizacyjnych i finansowych tych podmiotów</w:t>
            </w:r>
            <w:bookmarkEnd w:id="6"/>
            <w:r w:rsidRPr="001C7DBF">
              <w:rPr>
                <w:rStyle w:val="Teksttreci20"/>
                <w:rFonts w:asciiTheme="minorHAnsi" w:eastAsiaTheme="minorHAnsi" w:hAnsiTheme="minorHAnsi" w:cstheme="minorHAnsi"/>
                <w:b/>
                <w:bCs w:val="0"/>
                <w:i/>
                <w:sz w:val="22"/>
                <w:szCs w:val="22"/>
                <w:u w:val="none"/>
              </w:rPr>
              <w:t>.”</w:t>
            </w:r>
            <w:bookmarkEnd w:id="4"/>
            <w:bookmarkEnd w:id="5"/>
          </w:p>
        </w:tc>
        <w:tc>
          <w:tcPr>
            <w:tcW w:w="3686" w:type="dxa"/>
          </w:tcPr>
          <w:p w14:paraId="78DB8B6F"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0C5C0C34" w14:textId="77777777" w:rsidR="0059404D" w:rsidRDefault="00886B1B" w:rsidP="0042202B">
            <w:pPr>
              <w:pStyle w:val="ZLITUSTzmustliter"/>
              <w:spacing w:line="240" w:lineRule="auto"/>
              <w:ind w:left="0" w:firstLine="0"/>
              <w:jc w:val="left"/>
              <w:rPr>
                <w:rFonts w:asciiTheme="minorHAnsi" w:eastAsiaTheme="minorHAnsi" w:hAnsiTheme="minorHAnsi" w:cstheme="minorHAnsi"/>
                <w:b/>
                <w:bCs w:val="0"/>
                <w:sz w:val="22"/>
                <w:szCs w:val="22"/>
                <w:lang w:eastAsia="en-US"/>
              </w:rPr>
            </w:pPr>
            <w:r w:rsidRPr="00886B1B">
              <w:rPr>
                <w:rFonts w:asciiTheme="minorHAnsi" w:eastAsiaTheme="minorHAnsi" w:hAnsiTheme="minorHAnsi" w:cstheme="minorHAnsi"/>
                <w:b/>
                <w:bCs w:val="0"/>
                <w:sz w:val="22"/>
                <w:szCs w:val="22"/>
                <w:lang w:eastAsia="en-US"/>
              </w:rPr>
              <w:t>nr RCL.DPŚI.550.20.2025</w:t>
            </w:r>
          </w:p>
          <w:p w14:paraId="1AB54A90" w14:textId="77777777" w:rsidR="007B6387" w:rsidRDefault="007B6387" w:rsidP="0042202B">
            <w:pPr>
              <w:pStyle w:val="ZLITUSTzmustliter"/>
              <w:spacing w:line="240" w:lineRule="auto"/>
              <w:ind w:left="0" w:firstLine="0"/>
              <w:jc w:val="left"/>
              <w:rPr>
                <w:rStyle w:val="Teksttreci20"/>
                <w:rFonts w:asciiTheme="minorHAnsi" w:eastAsiaTheme="minorHAnsi" w:hAnsiTheme="minorHAnsi" w:cstheme="minorHAnsi"/>
                <w:b/>
                <w:bCs w:val="0"/>
                <w:sz w:val="22"/>
                <w:szCs w:val="22"/>
                <w:u w:val="none"/>
              </w:rPr>
            </w:pPr>
          </w:p>
          <w:p w14:paraId="1E6CADCD"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5D63780C" w14:textId="3753A1A3" w:rsidR="007B6387" w:rsidRPr="001C7DBF" w:rsidRDefault="007B6387" w:rsidP="0042202B">
            <w:pPr>
              <w:pStyle w:val="ZLITUSTzmustliter"/>
              <w:spacing w:line="240" w:lineRule="auto"/>
              <w:ind w:left="0" w:firstLine="0"/>
              <w:jc w:val="left"/>
              <w:rPr>
                <w:rStyle w:val="Teksttreci20"/>
                <w:rFonts w:asciiTheme="minorHAnsi" w:eastAsiaTheme="minorHAnsi" w:hAnsiTheme="minorHAnsi" w:cstheme="minorHAnsi"/>
                <w:b/>
                <w:bCs w:val="0"/>
                <w:sz w:val="22"/>
                <w:szCs w:val="22"/>
                <w:u w:val="none"/>
              </w:rPr>
            </w:pPr>
          </w:p>
        </w:tc>
      </w:tr>
      <w:tr w:rsidR="0059404D" w:rsidRPr="00F515D6" w14:paraId="7ECF4ABB" w14:textId="4C0145C4" w:rsidTr="00D76FE7">
        <w:tc>
          <w:tcPr>
            <w:tcW w:w="562" w:type="dxa"/>
          </w:tcPr>
          <w:p w14:paraId="7AC1B63B" w14:textId="43F16FEE" w:rsidR="0059404D" w:rsidRPr="001C7DBF" w:rsidRDefault="0059404D" w:rsidP="0042202B">
            <w:pPr>
              <w:rPr>
                <w:rFonts w:cstheme="minorHAnsi"/>
                <w:b/>
              </w:rPr>
            </w:pPr>
            <w:r w:rsidRPr="001C7DBF">
              <w:rPr>
                <w:rFonts w:cstheme="minorHAnsi"/>
                <w:b/>
              </w:rPr>
              <w:t>5</w:t>
            </w:r>
          </w:p>
        </w:tc>
        <w:tc>
          <w:tcPr>
            <w:tcW w:w="993" w:type="dxa"/>
          </w:tcPr>
          <w:p w14:paraId="7478DF01" w14:textId="5DC7D85D" w:rsidR="0059404D" w:rsidRPr="001C7DBF" w:rsidRDefault="0059404D" w:rsidP="0042202B">
            <w:pPr>
              <w:rPr>
                <w:rFonts w:cstheme="minorHAnsi"/>
                <w:b/>
              </w:rPr>
            </w:pPr>
            <w:r w:rsidRPr="001C7DBF">
              <w:rPr>
                <w:rFonts w:cstheme="minorHAnsi"/>
                <w:b/>
              </w:rPr>
              <w:t>RCL</w:t>
            </w:r>
          </w:p>
        </w:tc>
        <w:tc>
          <w:tcPr>
            <w:tcW w:w="1701" w:type="dxa"/>
          </w:tcPr>
          <w:p w14:paraId="5C102704" w14:textId="6ABD99A8" w:rsidR="0059404D" w:rsidRPr="001C7DBF" w:rsidRDefault="0059404D" w:rsidP="0042202B">
            <w:pPr>
              <w:rPr>
                <w:rFonts w:cstheme="minorHAnsi"/>
                <w:b/>
              </w:rPr>
            </w:pPr>
            <w:r w:rsidRPr="001C7DBF">
              <w:rPr>
                <w:rFonts w:cstheme="minorHAnsi"/>
                <w:b/>
              </w:rPr>
              <w:t>Art. 14 ust. 4 UH</w:t>
            </w:r>
          </w:p>
        </w:tc>
        <w:tc>
          <w:tcPr>
            <w:tcW w:w="5953" w:type="dxa"/>
          </w:tcPr>
          <w:p w14:paraId="72B5B5D1" w14:textId="11B9EDAD" w:rsidR="0059404D" w:rsidRPr="001C7DBF" w:rsidRDefault="0059404D" w:rsidP="0042202B">
            <w:pPr>
              <w:widowControl w:val="0"/>
              <w:tabs>
                <w:tab w:val="left" w:pos="735"/>
              </w:tabs>
              <w:rPr>
                <w:rFonts w:cstheme="minorHAnsi"/>
                <w:b/>
              </w:rPr>
            </w:pPr>
            <w:r w:rsidRPr="001C7DBF">
              <w:rPr>
                <w:rFonts w:cstheme="minorHAnsi"/>
                <w:b/>
              </w:rPr>
              <w:t xml:space="preserve">Zastrzeżenia budzi projektowane brzmienie art. 14 ust. 4 ustawy (art. 1 pkt 6 projektu), zgodnie z którym podmiot gospodarczy uczestniczący w procedurach homologacyjnych oraz wprowadzający do obrotu pojazdy, przedmioty wyposażenia lub części jest obowiązany do realizacji obowiązków wynikających z ustawy, rozporządzenia 167/2013, rozporządzenia 168/2013, rozporządzenia 2018/858, aktów wymienionych w tych rozporządzeniach oraz aktów wydanych na podstawie tych rozporządzeń i regulaminów ONZ. Zauważa się, że proponowana regulacja w projektowanym kształcie ma wątpliwą wartość normatywną, ponieważ </w:t>
            </w:r>
            <w:r w:rsidRPr="001C7DBF">
              <w:rPr>
                <w:rStyle w:val="Teksttreci2Kursywa"/>
                <w:rFonts w:asciiTheme="minorHAnsi" w:eastAsiaTheme="minorHAnsi" w:hAnsiTheme="minorHAnsi" w:cstheme="minorHAnsi"/>
                <w:b/>
                <w:sz w:val="22"/>
                <w:szCs w:val="22"/>
              </w:rPr>
              <w:t>de facto</w:t>
            </w:r>
            <w:r w:rsidRPr="001C7DBF">
              <w:rPr>
                <w:rFonts w:cstheme="minorHAnsi"/>
                <w:b/>
              </w:rPr>
              <w:t xml:space="preserve"> jedynie wskazuje na wykonywanie obowiązków, które wynikają z innych aktów. Z uwagi na powyższe proponowana regulacja wymaga skreślenia albo odpowiedniej zmiany określającej obowiązki i odesłanie do konkretnych przepisów, ale bez powtarzania norm czy jedynie informowania o konieczności ich realizacji.</w:t>
            </w:r>
          </w:p>
        </w:tc>
        <w:tc>
          <w:tcPr>
            <w:tcW w:w="3827" w:type="dxa"/>
          </w:tcPr>
          <w:p w14:paraId="4F9E166E" w14:textId="5E1F3322" w:rsidR="0059404D" w:rsidRPr="001C7DBF" w:rsidRDefault="0059404D" w:rsidP="0042202B">
            <w:pPr>
              <w:rPr>
                <w:rFonts w:cstheme="minorHAnsi"/>
                <w:b/>
              </w:rPr>
            </w:pPr>
            <w:r w:rsidRPr="001C7DBF">
              <w:rPr>
                <w:rFonts w:cstheme="minorHAnsi"/>
                <w:b/>
              </w:rPr>
              <w:t xml:space="preserve">Uwaga uwzględniona – usunięto przepis w projekcie.  </w:t>
            </w:r>
          </w:p>
        </w:tc>
        <w:tc>
          <w:tcPr>
            <w:tcW w:w="3686" w:type="dxa"/>
          </w:tcPr>
          <w:p w14:paraId="1AFFB1EE"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22B9F857"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62282389" w14:textId="77777777" w:rsidR="007B6387" w:rsidRDefault="007B6387" w:rsidP="0042202B">
            <w:pPr>
              <w:rPr>
                <w:rFonts w:cstheme="minorHAnsi"/>
                <w:b/>
              </w:rPr>
            </w:pPr>
          </w:p>
          <w:p w14:paraId="38E81EC1"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7DE4F23" w14:textId="5378F3A7" w:rsidR="007B6387" w:rsidRPr="001C7DBF" w:rsidRDefault="007B6387" w:rsidP="0042202B">
            <w:pPr>
              <w:rPr>
                <w:rFonts w:cstheme="minorHAnsi"/>
                <w:b/>
              </w:rPr>
            </w:pPr>
          </w:p>
        </w:tc>
      </w:tr>
      <w:tr w:rsidR="0059404D" w:rsidRPr="00F515D6" w14:paraId="4BEF8EAC" w14:textId="568ED0DF" w:rsidTr="00D76FE7">
        <w:tc>
          <w:tcPr>
            <w:tcW w:w="562" w:type="dxa"/>
          </w:tcPr>
          <w:p w14:paraId="7172E0CA" w14:textId="205FDC3F" w:rsidR="0059404D" w:rsidRPr="001C7DBF" w:rsidRDefault="0059404D" w:rsidP="0042202B">
            <w:pPr>
              <w:rPr>
                <w:rFonts w:cstheme="minorHAnsi"/>
                <w:b/>
              </w:rPr>
            </w:pPr>
            <w:r w:rsidRPr="001C7DBF">
              <w:rPr>
                <w:rFonts w:cstheme="minorHAnsi"/>
                <w:b/>
              </w:rPr>
              <w:t>6</w:t>
            </w:r>
          </w:p>
        </w:tc>
        <w:tc>
          <w:tcPr>
            <w:tcW w:w="993" w:type="dxa"/>
          </w:tcPr>
          <w:p w14:paraId="389B5394" w14:textId="77777777" w:rsidR="0059404D" w:rsidRDefault="0059404D" w:rsidP="0042202B">
            <w:pPr>
              <w:rPr>
                <w:rFonts w:cstheme="minorHAnsi"/>
                <w:b/>
              </w:rPr>
            </w:pPr>
            <w:r w:rsidRPr="001C7DBF">
              <w:rPr>
                <w:rFonts w:cstheme="minorHAnsi"/>
                <w:b/>
              </w:rPr>
              <w:t>RCL</w:t>
            </w:r>
          </w:p>
          <w:p w14:paraId="352E4177" w14:textId="77777777" w:rsidR="0059404D" w:rsidRDefault="0059404D" w:rsidP="0042202B">
            <w:pPr>
              <w:rPr>
                <w:rFonts w:cstheme="minorHAnsi"/>
                <w:b/>
              </w:rPr>
            </w:pPr>
          </w:p>
          <w:p w14:paraId="5F26A522" w14:textId="085CBC2B" w:rsidR="0059404D" w:rsidRPr="00100C6A" w:rsidRDefault="0059404D" w:rsidP="0042202B">
            <w:pPr>
              <w:rPr>
                <w:rFonts w:cstheme="minorHAnsi"/>
                <w:b/>
                <w:color w:val="00B050"/>
              </w:rPr>
            </w:pPr>
            <w:r>
              <w:rPr>
                <w:rFonts w:cstheme="minorHAnsi"/>
                <w:b/>
                <w:color w:val="00B050"/>
              </w:rPr>
              <w:t>+ uwaga 32 MSWiA</w:t>
            </w:r>
          </w:p>
        </w:tc>
        <w:tc>
          <w:tcPr>
            <w:tcW w:w="1701" w:type="dxa"/>
          </w:tcPr>
          <w:p w14:paraId="6899FE03" w14:textId="3A997584" w:rsidR="0059404D" w:rsidRPr="001C7DBF" w:rsidRDefault="0059404D" w:rsidP="0042202B">
            <w:pPr>
              <w:rPr>
                <w:rFonts w:cstheme="minorHAnsi"/>
                <w:b/>
              </w:rPr>
            </w:pPr>
            <w:r w:rsidRPr="001C7DBF">
              <w:rPr>
                <w:rFonts w:cstheme="minorHAnsi"/>
                <w:b/>
              </w:rPr>
              <w:t>Art. 14 ust. 5 UH</w:t>
            </w:r>
          </w:p>
        </w:tc>
        <w:tc>
          <w:tcPr>
            <w:tcW w:w="5953" w:type="dxa"/>
          </w:tcPr>
          <w:p w14:paraId="76B2B22C" w14:textId="68F724F3" w:rsidR="0059404D" w:rsidRPr="001C7DBF" w:rsidRDefault="0059404D" w:rsidP="0042202B">
            <w:pPr>
              <w:widowControl w:val="0"/>
              <w:numPr>
                <w:ilvl w:val="0"/>
                <w:numId w:val="2"/>
              </w:numPr>
              <w:tabs>
                <w:tab w:val="left" w:pos="735"/>
              </w:tabs>
              <w:ind w:hanging="360"/>
              <w:rPr>
                <w:rFonts w:cstheme="minorHAnsi"/>
                <w:b/>
              </w:rPr>
            </w:pPr>
            <w:r w:rsidRPr="001C7DBF">
              <w:rPr>
                <w:rFonts w:cstheme="minorHAnsi"/>
                <w:b/>
              </w:rPr>
              <w:t xml:space="preserve">Projektowany art. 14 ust. 5 ustawy (art. 1 pkt 6 projektu) jest niezrozumiały w zakresie, w jakim w odniesieniu do zakazu wprowadzania do obrotu przedmiotu wyposażenia lub części bez wymaganego zezwolenia na wprowadzenie do obrotu przedmiotu wyposażenia lub części zawiera doprecyzowanie, że chodzi o przedmiot wyposażenia lub część, </w:t>
            </w:r>
            <w:r w:rsidRPr="001C7DBF">
              <w:rPr>
                <w:rStyle w:val="Teksttreci20"/>
                <w:rFonts w:asciiTheme="minorHAnsi" w:eastAsiaTheme="minorHAnsi" w:hAnsiTheme="minorHAnsi" w:cstheme="minorHAnsi"/>
                <w:b/>
                <w:sz w:val="22"/>
                <w:szCs w:val="22"/>
                <w:u w:val="none"/>
              </w:rPr>
              <w:t>które mogą stwarzać poważne zagrożenie dla właściwego funkcjonowania istotnych układów.</w:t>
            </w:r>
            <w:r w:rsidRPr="001C7DBF">
              <w:rPr>
                <w:rFonts w:cstheme="minorHAnsi"/>
                <w:b/>
              </w:rPr>
              <w:t xml:space="preserve"> Wydaje się, że zakaz może dotyczyć wprowadzenia do obrotu bez wymaganego zezwolenia, a kwestie stwarzania zagrożenia powinny być weryfikowane na </w:t>
            </w:r>
            <w:r w:rsidRPr="001C7DBF">
              <w:rPr>
                <w:rFonts w:cstheme="minorHAnsi"/>
                <w:b/>
              </w:rPr>
              <w:lastRenderedPageBreak/>
              <w:t>etapie wydawania tego zezwolenia.</w:t>
            </w:r>
          </w:p>
        </w:tc>
        <w:tc>
          <w:tcPr>
            <w:tcW w:w="3827" w:type="dxa"/>
          </w:tcPr>
          <w:p w14:paraId="0792E9AD" w14:textId="608F7854" w:rsidR="0059404D" w:rsidRPr="001C7DBF" w:rsidRDefault="0059404D" w:rsidP="0042202B">
            <w:pPr>
              <w:rPr>
                <w:b/>
              </w:rPr>
            </w:pPr>
            <w:r w:rsidRPr="001C7DBF">
              <w:rPr>
                <w:b/>
              </w:rPr>
              <w:lastRenderedPageBreak/>
              <w:t xml:space="preserve">Uwaga nieuwzględniona – przywołane w przepisie zezwolenie na wprowadzanie do obrotu przedmiotu wyposażenia lub części, które mogą stwarzać poważne zagrożenie dla właściwego funkcjonowania istotnych układów jest nazwą dokumentu, wydawanego przez Dyrektora TDT, zgodnie z art. 47 ust. 2 </w:t>
            </w:r>
            <w:r>
              <w:rPr>
                <w:b/>
              </w:rPr>
              <w:t xml:space="preserve">istniejącym w </w:t>
            </w:r>
            <w:r>
              <w:rPr>
                <w:b/>
              </w:rPr>
              <w:lastRenderedPageBreak/>
              <w:t>obecnych przepisów ustawy homologacyjnej</w:t>
            </w:r>
            <w:r w:rsidRPr="001C7DBF">
              <w:rPr>
                <w:b/>
              </w:rPr>
              <w:t xml:space="preserve">. </w:t>
            </w:r>
          </w:p>
          <w:p w14:paraId="44C81C39" w14:textId="1CCDCBC6" w:rsidR="0059404D" w:rsidRPr="001C7DBF" w:rsidRDefault="0059404D" w:rsidP="0042202B">
            <w:pPr>
              <w:rPr>
                <w:rFonts w:cstheme="minorHAnsi"/>
                <w:b/>
                <w:i/>
              </w:rPr>
            </w:pPr>
            <w:r w:rsidRPr="001C7DBF">
              <w:rPr>
                <w:b/>
                <w:i/>
              </w:rPr>
              <w:t>„2. Dyrektor TDT, w drodze decyzji administracyjnej, wydaje, za opłatą, zezwolenie na wprowadzanie do obrotu przed-miotu wyposażenia lub części, które mogą stwarzać poważne zagrożenie dla właściwego funkcjonowania istotnych układów, albo odmawia wydania takiego zezwolenia.”</w:t>
            </w:r>
          </w:p>
        </w:tc>
        <w:tc>
          <w:tcPr>
            <w:tcW w:w="3686" w:type="dxa"/>
          </w:tcPr>
          <w:p w14:paraId="3477C2E6"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192CF665"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18BC2651" w14:textId="77777777" w:rsidR="007B6387" w:rsidRDefault="007B6387" w:rsidP="0042202B">
            <w:pPr>
              <w:rPr>
                <w:b/>
              </w:rPr>
            </w:pPr>
          </w:p>
          <w:p w14:paraId="54309C04" w14:textId="77777777" w:rsidR="007B6387" w:rsidRDefault="007B6387" w:rsidP="0042202B">
            <w:pPr>
              <w:rPr>
                <w:b/>
              </w:rPr>
            </w:pPr>
          </w:p>
          <w:p w14:paraId="67DE23C9"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3FEFEF13" w14:textId="0516BBD5" w:rsidR="007B6387" w:rsidRPr="001C7DBF" w:rsidRDefault="007B6387" w:rsidP="0042202B">
            <w:pPr>
              <w:rPr>
                <w:b/>
              </w:rPr>
            </w:pPr>
          </w:p>
        </w:tc>
      </w:tr>
      <w:tr w:rsidR="0059404D" w:rsidRPr="00F515D6" w14:paraId="5FAA59D0" w14:textId="72B3939A" w:rsidTr="00D76FE7">
        <w:tc>
          <w:tcPr>
            <w:tcW w:w="562" w:type="dxa"/>
          </w:tcPr>
          <w:p w14:paraId="40413FC4" w14:textId="18912E1D" w:rsidR="0059404D" w:rsidRPr="001C7DBF" w:rsidRDefault="0059404D" w:rsidP="0042202B">
            <w:pPr>
              <w:rPr>
                <w:rFonts w:cstheme="minorHAnsi"/>
                <w:b/>
              </w:rPr>
            </w:pPr>
            <w:r w:rsidRPr="001C7DBF">
              <w:rPr>
                <w:rFonts w:cstheme="minorHAnsi"/>
                <w:b/>
              </w:rPr>
              <w:t>7</w:t>
            </w:r>
          </w:p>
        </w:tc>
        <w:tc>
          <w:tcPr>
            <w:tcW w:w="993" w:type="dxa"/>
          </w:tcPr>
          <w:p w14:paraId="7D9DB9D1" w14:textId="77777777" w:rsidR="0059404D" w:rsidRDefault="0059404D" w:rsidP="0042202B">
            <w:pPr>
              <w:rPr>
                <w:rFonts w:cstheme="minorHAnsi"/>
                <w:b/>
              </w:rPr>
            </w:pPr>
            <w:r w:rsidRPr="001C7DBF">
              <w:rPr>
                <w:rFonts w:cstheme="minorHAnsi"/>
                <w:b/>
              </w:rPr>
              <w:t>RCL</w:t>
            </w:r>
          </w:p>
          <w:p w14:paraId="2C6B0B04" w14:textId="76CCA0A7" w:rsidR="0059404D" w:rsidRDefault="0059404D" w:rsidP="0042202B">
            <w:pPr>
              <w:rPr>
                <w:rFonts w:cstheme="minorHAnsi"/>
                <w:b/>
                <w:color w:val="00B050"/>
              </w:rPr>
            </w:pPr>
            <w:r>
              <w:rPr>
                <w:rFonts w:cstheme="minorHAnsi"/>
                <w:b/>
                <w:color w:val="00B050"/>
              </w:rPr>
              <w:t>+ uwaga 47-50 MC do art. 53a</w:t>
            </w:r>
          </w:p>
          <w:p w14:paraId="22380F88" w14:textId="53CC0048" w:rsidR="0059404D" w:rsidRPr="00D92C90" w:rsidRDefault="0059404D" w:rsidP="0042202B">
            <w:pPr>
              <w:rPr>
                <w:rFonts w:cstheme="minorHAnsi"/>
                <w:b/>
                <w:color w:val="00B050"/>
              </w:rPr>
            </w:pPr>
            <w:r>
              <w:rPr>
                <w:rFonts w:cstheme="minorHAnsi"/>
                <w:b/>
                <w:color w:val="00B050"/>
              </w:rPr>
              <w:t>i art. 53b</w:t>
            </w:r>
          </w:p>
        </w:tc>
        <w:tc>
          <w:tcPr>
            <w:tcW w:w="1701" w:type="dxa"/>
          </w:tcPr>
          <w:p w14:paraId="5BB89944" w14:textId="453CC403" w:rsidR="0059404D" w:rsidRPr="001C7DBF" w:rsidRDefault="0059404D" w:rsidP="0042202B">
            <w:pPr>
              <w:rPr>
                <w:rFonts w:cstheme="minorHAnsi"/>
                <w:b/>
              </w:rPr>
            </w:pPr>
            <w:r w:rsidRPr="001C7DBF">
              <w:rPr>
                <w:rFonts w:cstheme="minorHAnsi"/>
                <w:b/>
              </w:rPr>
              <w:t>Art. 53a, art. 53b ust. 1, art. 68u ust. 2 i art. 68ze UH</w:t>
            </w:r>
          </w:p>
        </w:tc>
        <w:tc>
          <w:tcPr>
            <w:tcW w:w="5953" w:type="dxa"/>
          </w:tcPr>
          <w:p w14:paraId="191BDC84" w14:textId="77777777" w:rsidR="0059404D" w:rsidRPr="001C7DBF" w:rsidRDefault="0059404D" w:rsidP="0042202B">
            <w:pPr>
              <w:widowControl w:val="0"/>
              <w:tabs>
                <w:tab w:val="left" w:pos="735"/>
              </w:tabs>
              <w:rPr>
                <w:rFonts w:cstheme="minorHAnsi"/>
                <w:b/>
              </w:rPr>
            </w:pPr>
            <w:r w:rsidRPr="001C7DBF">
              <w:rPr>
                <w:rFonts w:cstheme="minorHAnsi"/>
                <w:b/>
              </w:rPr>
              <w:t xml:space="preserve">Szczegółowego wyjaśnienia i doprecyzowania wymaga projektowany art. 53a ustawy (art. 1 pkt 8 projektu) nakładający na podmiot gospodarczy, który wprowadził do obrotu pojazd, przedmiot wyposażenia lub część, wbrew zakazowi określonemu w art. 14 ust. 5 ustawy lub </w:t>
            </w:r>
            <w:r w:rsidRPr="001C7DBF">
              <w:rPr>
                <w:rStyle w:val="Teksttreci20"/>
                <w:rFonts w:asciiTheme="minorHAnsi" w:eastAsiaTheme="minorHAnsi" w:hAnsiTheme="minorHAnsi" w:cstheme="minorHAnsi"/>
                <w:b/>
                <w:sz w:val="22"/>
                <w:szCs w:val="22"/>
                <w:u w:val="none"/>
              </w:rPr>
              <w:t xml:space="preserve">stwierdził niezgodność z wymaganiami lub stwarzanie poważnego ryzyka, </w:t>
            </w:r>
            <w:r w:rsidRPr="001C7DBF">
              <w:rPr>
                <w:rFonts w:cstheme="minorHAnsi"/>
                <w:b/>
              </w:rPr>
              <w:t xml:space="preserve">obowiązek podania do publicznej wiadomości w środkach masowego przekazu o zasięgu ogólnopolskim </w:t>
            </w:r>
            <w:r w:rsidRPr="001C7DBF">
              <w:rPr>
                <w:rStyle w:val="Teksttreci20"/>
                <w:rFonts w:asciiTheme="minorHAnsi" w:eastAsiaTheme="minorHAnsi" w:hAnsiTheme="minorHAnsi" w:cstheme="minorHAnsi"/>
                <w:b/>
                <w:sz w:val="22"/>
                <w:szCs w:val="22"/>
                <w:u w:val="none"/>
              </w:rPr>
              <w:t>oraz w miejscu wprowadzenia do obrotu</w:t>
            </w:r>
            <w:r w:rsidRPr="001C7DBF">
              <w:rPr>
                <w:rFonts w:cstheme="minorHAnsi"/>
                <w:b/>
              </w:rPr>
              <w:t xml:space="preserve"> pojazdu, przedmiotu wyposażenia lub części objętych obowiązkiem wycofania z rynku - informacji o pojeździe, przedmiocie wyposażenia lub części objętych obowiązkiem wycofania z rynku. Powyższy przepis, stosownie do zasady określoności przepisów prawa, wymaga doprecyzowania, gdyż niejasne jest, o jakie stwierdzenie niezgodności z wymaganiami i stwarzanie poważnego ryzyka chodzi. Ponadto nie jest jasne, o jakie miejsce wprowadzenia do obrotu chodzi. Uwaga dotycząca konieczności doprecyzowania regulacji wskazujących na </w:t>
            </w:r>
            <w:r w:rsidRPr="001C7DBF">
              <w:rPr>
                <w:rFonts w:cstheme="minorHAnsi"/>
                <w:b/>
              </w:rPr>
              <w:lastRenderedPageBreak/>
              <w:t>niezgodności z wymaganiami i stwarzanie ryzyka lub miejsca wprowadzenia do obrotu odnosi się również do innych projektowanych regulacji, w których takie sformułowania występują, np. projektowanego art. 53b ust. 1, art. 68u ust. 2 i art. 68ze ustawy.</w:t>
            </w:r>
          </w:p>
          <w:p w14:paraId="53DC9CC5" w14:textId="77777777" w:rsidR="0059404D" w:rsidRPr="001C7DBF" w:rsidRDefault="0059404D" w:rsidP="0042202B">
            <w:pPr>
              <w:autoSpaceDE w:val="0"/>
              <w:autoSpaceDN w:val="0"/>
              <w:adjustRightInd w:val="0"/>
              <w:rPr>
                <w:rFonts w:cstheme="minorHAnsi"/>
                <w:b/>
              </w:rPr>
            </w:pPr>
          </w:p>
        </w:tc>
        <w:tc>
          <w:tcPr>
            <w:tcW w:w="3827" w:type="dxa"/>
          </w:tcPr>
          <w:p w14:paraId="617E9DED" w14:textId="77777777" w:rsidR="0059404D" w:rsidRDefault="0059404D" w:rsidP="0042202B">
            <w:pPr>
              <w:rPr>
                <w:rFonts w:cstheme="minorHAnsi"/>
                <w:b/>
              </w:rPr>
            </w:pPr>
            <w:r w:rsidRPr="001F44A3">
              <w:rPr>
                <w:rFonts w:cstheme="minorHAnsi"/>
                <w:b/>
              </w:rPr>
              <w:lastRenderedPageBreak/>
              <w:t xml:space="preserve">Uwaga uwzględniona – doprecyzowano przepis art. 53a, wprowadzono w art. 2 UH </w:t>
            </w:r>
            <w:bookmarkStart w:id="7" w:name="_Hlk219303708"/>
            <w:r w:rsidRPr="001F44A3">
              <w:rPr>
                <w:rFonts w:cstheme="minorHAnsi"/>
                <w:b/>
              </w:rPr>
              <w:t>definicję pojazdu, przedmiotu wyposażenia lub części stwarzających ryzyko i poważne ryzyko, zgodnie z rozporządzeniem 2019/1020 oraz wprowadzono zmianę art. 12 ust. 1 UH wskazującego na zakres wymagań w procedurze poprzez wprowadzenie skrótu „wymagania techniczne”, który będzie miał zastosowanie w dalszych przepisach, w tym w art. 68</w:t>
            </w:r>
            <w:r>
              <w:rPr>
                <w:rFonts w:cstheme="minorHAnsi"/>
                <w:b/>
              </w:rPr>
              <w:t>u</w:t>
            </w:r>
            <w:r w:rsidRPr="001F44A3">
              <w:rPr>
                <w:rFonts w:cstheme="minorHAnsi"/>
                <w:b/>
              </w:rPr>
              <w:t xml:space="preserve"> ust. 2 i art. 68ze. </w:t>
            </w:r>
            <w:bookmarkEnd w:id="7"/>
          </w:p>
          <w:p w14:paraId="3B8FEA40" w14:textId="02430E0C" w:rsidR="0059404D" w:rsidRPr="00E7337E" w:rsidRDefault="0059404D" w:rsidP="0042202B">
            <w:pPr>
              <w:rPr>
                <w:rFonts w:cstheme="minorHAnsi"/>
                <w:b/>
              </w:rPr>
            </w:pPr>
            <w:r w:rsidRPr="001C7DBF">
              <w:rPr>
                <w:rFonts w:eastAsiaTheme="minorEastAsia" w:cstheme="minorHAnsi"/>
                <w:b/>
                <w:i/>
                <w:lang w:eastAsia="pl-PL"/>
              </w:rPr>
              <w:t>„Art. 2:</w:t>
            </w:r>
          </w:p>
          <w:p w14:paraId="1EE192EE" w14:textId="77777777" w:rsidR="0059404D" w:rsidRPr="001C7DBF" w:rsidRDefault="0059404D" w:rsidP="0042202B">
            <w:pPr>
              <w:pStyle w:val="ZLITPKTzmpktliter"/>
              <w:spacing w:line="240" w:lineRule="auto"/>
              <w:ind w:left="318" w:hanging="425"/>
              <w:jc w:val="left"/>
              <w:rPr>
                <w:rFonts w:asciiTheme="minorHAnsi" w:hAnsiTheme="minorHAnsi" w:cstheme="minorHAnsi"/>
                <w:b/>
                <w:bCs w:val="0"/>
                <w:i/>
                <w:sz w:val="22"/>
                <w:szCs w:val="22"/>
              </w:rPr>
            </w:pPr>
            <w:r w:rsidRPr="001C7DBF">
              <w:rPr>
                <w:rFonts w:asciiTheme="minorHAnsi" w:hAnsiTheme="minorHAnsi" w:cstheme="minorHAnsi"/>
                <w:b/>
                <w:bCs w:val="0"/>
                <w:i/>
                <w:sz w:val="22"/>
                <w:szCs w:val="22"/>
              </w:rPr>
              <w:t xml:space="preserve">42) </w:t>
            </w:r>
            <w:r w:rsidRPr="001C7DBF">
              <w:rPr>
                <w:rFonts w:asciiTheme="minorHAnsi" w:hAnsiTheme="minorHAnsi" w:cstheme="minorHAnsi"/>
                <w:b/>
                <w:bCs w:val="0"/>
                <w:i/>
                <w:sz w:val="22"/>
                <w:szCs w:val="22"/>
              </w:rPr>
              <w:tab/>
              <w:t xml:space="preserve">pojeździe, przedmiocie wyposażenia lub części stwarzających ryzyko – rozumie się przez to pojazd, przedmiot </w:t>
            </w:r>
            <w:r w:rsidRPr="001C7DBF">
              <w:rPr>
                <w:rFonts w:asciiTheme="minorHAnsi" w:hAnsiTheme="minorHAnsi" w:cstheme="minorHAnsi"/>
                <w:b/>
                <w:bCs w:val="0"/>
                <w:i/>
                <w:sz w:val="22"/>
                <w:szCs w:val="22"/>
              </w:rPr>
              <w:lastRenderedPageBreak/>
              <w:t>wyposażenia lub część stwarzające ryzyko, o którym mowa w art. 3 pkt 19 rozporządzenia 2019/1020;</w:t>
            </w:r>
          </w:p>
          <w:p w14:paraId="4ECE8A54" w14:textId="31519D95" w:rsidR="0059404D" w:rsidRPr="001C7DBF" w:rsidRDefault="0059404D" w:rsidP="0042202B">
            <w:pPr>
              <w:pStyle w:val="ZLITPKTzmpktliter"/>
              <w:spacing w:line="240" w:lineRule="auto"/>
              <w:ind w:left="318" w:hanging="425"/>
              <w:jc w:val="left"/>
              <w:rPr>
                <w:rFonts w:asciiTheme="minorHAnsi" w:hAnsiTheme="minorHAnsi" w:cstheme="minorHAnsi"/>
                <w:b/>
                <w:bCs w:val="0"/>
                <w:i/>
                <w:sz w:val="22"/>
                <w:szCs w:val="22"/>
              </w:rPr>
            </w:pPr>
            <w:r w:rsidRPr="001C7DBF">
              <w:rPr>
                <w:rFonts w:asciiTheme="minorHAnsi" w:hAnsiTheme="minorHAnsi" w:cstheme="minorHAnsi"/>
                <w:b/>
                <w:bCs w:val="0"/>
                <w:i/>
                <w:sz w:val="22"/>
                <w:szCs w:val="22"/>
              </w:rPr>
              <w:t>43)</w:t>
            </w:r>
            <w:r w:rsidRPr="001C7DBF">
              <w:rPr>
                <w:rFonts w:asciiTheme="minorHAnsi" w:hAnsiTheme="minorHAnsi" w:cstheme="minorHAnsi"/>
                <w:b/>
                <w:bCs w:val="0"/>
                <w:i/>
                <w:sz w:val="22"/>
                <w:szCs w:val="22"/>
              </w:rPr>
              <w:tab/>
              <w:t>pojeździe, przedmiocie wyposażenia lub części stwarzających poważne ryzyko – rozumie się przez to pojazd, przedmiot wyposażenia lub część stwarzające poważne ryzyko, o którym mowa w art. 3 pkt 20 rozporządzenia 2019/1020;”</w:t>
            </w:r>
          </w:p>
          <w:p w14:paraId="770DB3E5" w14:textId="3FD321BA" w:rsidR="0059404D" w:rsidRPr="001C7DBF" w:rsidRDefault="0059404D" w:rsidP="0042202B">
            <w:pPr>
              <w:ind w:left="318" w:hanging="425"/>
              <w:rPr>
                <w:rFonts w:cstheme="minorHAnsi"/>
                <w:b/>
                <w:i/>
              </w:rPr>
            </w:pPr>
          </w:p>
          <w:p w14:paraId="2276571C" w14:textId="77777777" w:rsidR="0059404D" w:rsidRPr="001C7DBF" w:rsidRDefault="0059404D" w:rsidP="0042202B">
            <w:pPr>
              <w:pStyle w:val="ZLITARTzmartliter"/>
              <w:spacing w:line="240" w:lineRule="auto"/>
              <w:ind w:left="0" w:firstLine="0"/>
              <w:jc w:val="left"/>
              <w:rPr>
                <w:rFonts w:asciiTheme="minorHAnsi" w:hAnsiTheme="minorHAnsi" w:cstheme="minorHAnsi"/>
                <w:b/>
                <w:bCs w:val="0"/>
                <w:i/>
                <w:sz w:val="22"/>
                <w:szCs w:val="22"/>
              </w:rPr>
            </w:pPr>
            <w:r w:rsidRPr="001C7DBF">
              <w:rPr>
                <w:rFonts w:asciiTheme="minorHAnsi" w:hAnsiTheme="minorHAnsi" w:cstheme="minorHAnsi"/>
                <w:b/>
                <w:bCs w:val="0"/>
                <w:i/>
                <w:sz w:val="22"/>
                <w:szCs w:val="22"/>
              </w:rPr>
              <w:t>„Art. 12. 1. Nowy typ pojazdu, typ przedmiotu wyposażenia lub części, który ma być wprowadzony do obrotu na terytorium Rzeczypospolitej Polskiej, powinien spełniać wymagania techniczne, odpowiednie dla danej kategorii pojazdu, określone w przepisach Unii Europejskiej dotyczących ich homologacji, regulaminach ONZ dotyczących ich homologacji lub przepisach wydanych na podstawie art. 54 ust. 1 i art. 55 ust. 1, zwane dalej „wymaganiami technicznymi.”.;”</w:t>
            </w:r>
          </w:p>
          <w:p w14:paraId="22CE0860" w14:textId="77777777" w:rsidR="0059404D" w:rsidRPr="001C7DBF" w:rsidRDefault="0059404D" w:rsidP="0042202B">
            <w:pPr>
              <w:rPr>
                <w:rFonts w:cstheme="minorHAnsi"/>
                <w:b/>
                <w:i/>
              </w:rPr>
            </w:pPr>
          </w:p>
          <w:p w14:paraId="07553D53" w14:textId="00E406EC" w:rsidR="0059404D" w:rsidRPr="001C7DBF"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„Art. 53a. 1. Podmiot gospodarczy, który wprowadził do obrotu na </w:t>
            </w:r>
            <w:r w:rsidRPr="001C7DBF">
              <w:rPr>
                <w:rFonts w:asciiTheme="minorHAnsi" w:hAnsiTheme="minorHAnsi" w:cstheme="minorHAnsi"/>
                <w:b/>
                <w:i/>
                <w:sz w:val="22"/>
                <w:szCs w:val="22"/>
              </w:rPr>
              <w:lastRenderedPageBreak/>
              <w:t>terytorium Rzeczypospolitej Polskiej pojazd, przedmiot wyposażenia lub część, wbrew zakazowi określonemu w art. 14 ust. 5 lub stwierdził niezgodność z wymaganiami technicznymi lub stwarzanie ryzyka przez pojazd, przedmiot wyposażenia lub część, jest obowiązany poinformować o tym niezwłocznie</w:t>
            </w:r>
            <w:r>
              <w:rPr>
                <w:rFonts w:asciiTheme="minorHAnsi" w:hAnsiTheme="minorHAnsi" w:cstheme="minorHAnsi"/>
                <w:b/>
                <w:i/>
                <w:sz w:val="22"/>
                <w:szCs w:val="22"/>
              </w:rPr>
              <w:t xml:space="preserve">, nie później niż 14 dni od </w:t>
            </w:r>
            <w:r w:rsidRPr="00354D94">
              <w:rPr>
                <w:rFonts w:asciiTheme="minorHAnsi" w:hAnsiTheme="minorHAnsi" w:cstheme="minorHAnsi"/>
                <w:b/>
                <w:i/>
                <w:sz w:val="22"/>
                <w:szCs w:val="22"/>
              </w:rPr>
              <w:t xml:space="preserve"> stwierdzenia wskazanych powyżej okoliczności</w:t>
            </w:r>
            <w:r>
              <w:rPr>
                <w:rFonts w:asciiTheme="minorHAnsi" w:hAnsiTheme="minorHAnsi" w:cstheme="minorHAnsi"/>
                <w:b/>
                <w:i/>
                <w:sz w:val="22"/>
                <w:szCs w:val="22"/>
              </w:rPr>
              <w:t>,</w:t>
            </w:r>
            <w:r w:rsidRPr="001C7DBF">
              <w:rPr>
                <w:rFonts w:asciiTheme="minorHAnsi" w:hAnsiTheme="minorHAnsi" w:cstheme="minorHAnsi"/>
                <w:b/>
                <w:i/>
                <w:sz w:val="22"/>
                <w:szCs w:val="22"/>
              </w:rPr>
              <w:t xml:space="preserve"> Dyrektora TDT jako organ nadzoru rynku oraz o planowanych działaniach obejmujących:</w:t>
            </w:r>
          </w:p>
          <w:p w14:paraId="6C1E5EC2" w14:textId="77777777" w:rsidR="0059404D" w:rsidRPr="001C7DBF" w:rsidRDefault="0059404D" w:rsidP="0042202B">
            <w:pPr>
              <w:pStyle w:val="ZPKTzmpktartykuempunktem"/>
              <w:spacing w:line="240" w:lineRule="auto"/>
              <w:ind w:left="510"/>
              <w:jc w:val="left"/>
              <w:rPr>
                <w:rFonts w:asciiTheme="minorHAnsi" w:hAnsiTheme="minorHAnsi" w:cstheme="minorHAnsi"/>
                <w:b/>
                <w:i/>
                <w:sz w:val="22"/>
                <w:szCs w:val="22"/>
              </w:rPr>
            </w:pPr>
            <w:r w:rsidRPr="001C7DBF">
              <w:rPr>
                <w:rFonts w:asciiTheme="minorHAnsi" w:hAnsiTheme="minorHAnsi" w:cstheme="minorHAnsi"/>
                <w:b/>
                <w:i/>
                <w:sz w:val="22"/>
                <w:szCs w:val="22"/>
              </w:rPr>
              <w:t>1)</w:t>
            </w:r>
            <w:r w:rsidRPr="001C7DBF">
              <w:rPr>
                <w:rFonts w:asciiTheme="minorHAnsi" w:hAnsiTheme="minorHAnsi" w:cstheme="minorHAnsi"/>
                <w:b/>
                <w:i/>
                <w:sz w:val="22"/>
                <w:szCs w:val="22"/>
              </w:rPr>
              <w:tab/>
              <w:t>podanie do publicznej wiadomości w środkach</w:t>
            </w:r>
            <w:r w:rsidRPr="001C7DBF">
              <w:rPr>
                <w:b/>
                <w:i/>
              </w:rPr>
              <w:t xml:space="preserve"> </w:t>
            </w:r>
            <w:r w:rsidRPr="001C7DBF">
              <w:rPr>
                <w:rFonts w:asciiTheme="minorHAnsi" w:hAnsiTheme="minorHAnsi" w:cstheme="minorHAnsi"/>
                <w:b/>
                <w:i/>
                <w:sz w:val="22"/>
                <w:szCs w:val="22"/>
              </w:rPr>
              <w:t>masowego przekazu o zasięgu ogólnopolskim oraz w miejscu wprowadzenia do obrotu pojazdu, przedmiotu wyposażenia lub części objętych obowiązkiem wycofania z rynku, informację o pojeździe, przedmiocie wyposażenia lub części objętych obowiązkiem wycofania z rynku oraz</w:t>
            </w:r>
          </w:p>
          <w:p w14:paraId="27E0ADD4" w14:textId="5C5C6AFF" w:rsidR="0059404D" w:rsidRPr="001C7DBF" w:rsidRDefault="0059404D" w:rsidP="0042202B">
            <w:pPr>
              <w:pStyle w:val="ZPKTzmpktartykuempunktem"/>
              <w:keepNext/>
              <w:spacing w:line="240" w:lineRule="auto"/>
              <w:ind w:left="510"/>
              <w:jc w:val="left"/>
              <w:rPr>
                <w:rFonts w:asciiTheme="minorHAnsi" w:hAnsiTheme="minorHAnsi" w:cstheme="minorHAnsi"/>
                <w:b/>
                <w:i/>
                <w:sz w:val="22"/>
                <w:szCs w:val="22"/>
              </w:rPr>
            </w:pPr>
            <w:r w:rsidRPr="001C7DBF">
              <w:rPr>
                <w:rFonts w:asciiTheme="minorHAnsi" w:hAnsiTheme="minorHAnsi" w:cstheme="minorHAnsi"/>
                <w:b/>
                <w:i/>
                <w:sz w:val="22"/>
                <w:szCs w:val="22"/>
              </w:rPr>
              <w:t>2)</w:t>
            </w:r>
            <w:r w:rsidRPr="001C7DBF">
              <w:rPr>
                <w:rFonts w:asciiTheme="minorHAnsi" w:hAnsiTheme="minorHAnsi" w:cstheme="minorHAnsi"/>
                <w:b/>
                <w:i/>
                <w:sz w:val="22"/>
                <w:szCs w:val="22"/>
              </w:rPr>
              <w:tab/>
              <w:t xml:space="preserve">doprowadzenie, na swój koszt, pojazdu, przedmiotu wyposażenia lub części do stanu </w:t>
            </w:r>
            <w:r w:rsidRPr="001C7DBF">
              <w:rPr>
                <w:rFonts w:asciiTheme="minorHAnsi" w:hAnsiTheme="minorHAnsi" w:cstheme="minorHAnsi"/>
                <w:b/>
                <w:i/>
                <w:sz w:val="22"/>
                <w:szCs w:val="22"/>
              </w:rPr>
              <w:lastRenderedPageBreak/>
              <w:t xml:space="preserve">zgodności z wymaganiami technicznymi albo </w:t>
            </w:r>
          </w:p>
          <w:p w14:paraId="717953D0" w14:textId="3F33DCB4" w:rsidR="0059404D" w:rsidRPr="001C7DBF" w:rsidRDefault="0059404D" w:rsidP="0042202B">
            <w:pPr>
              <w:pStyle w:val="ZPKTzmpktartykuempunktem"/>
              <w:spacing w:line="240" w:lineRule="auto"/>
              <w:ind w:left="510"/>
              <w:jc w:val="left"/>
              <w:rPr>
                <w:rFonts w:asciiTheme="minorHAnsi" w:hAnsiTheme="minorHAnsi" w:cstheme="minorHAnsi"/>
                <w:b/>
                <w:i/>
                <w:sz w:val="22"/>
                <w:szCs w:val="22"/>
              </w:rPr>
            </w:pPr>
            <w:r w:rsidRPr="001C7DBF">
              <w:rPr>
                <w:rFonts w:asciiTheme="minorHAnsi" w:hAnsiTheme="minorHAnsi" w:cstheme="minorHAnsi"/>
                <w:b/>
                <w:i/>
                <w:sz w:val="22"/>
                <w:szCs w:val="22"/>
              </w:rPr>
              <w:t>3)       wycofanie, na swój koszt,  z rynku pojazdu, przedmiotu wyposażenia lub części, a w przypadku, gdy pojazd, przedmiot wyposażenia lub część zostały zbyte na rzecz użytkownika końcowego także:</w:t>
            </w:r>
          </w:p>
          <w:p w14:paraId="56913C6F" w14:textId="77777777" w:rsidR="0059404D" w:rsidRPr="001C7DBF" w:rsidRDefault="0059404D" w:rsidP="0042202B">
            <w:pPr>
              <w:pStyle w:val="ZTIRwPKTzmtirwpktartykuempunktem"/>
              <w:spacing w:line="240" w:lineRule="auto"/>
              <w:ind w:left="1105"/>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a) </w:t>
            </w:r>
            <w:r w:rsidRPr="001C7DBF">
              <w:rPr>
                <w:rFonts w:asciiTheme="minorHAnsi" w:hAnsiTheme="minorHAnsi" w:cstheme="minorHAnsi"/>
                <w:b/>
                <w:i/>
                <w:sz w:val="22"/>
                <w:szCs w:val="22"/>
              </w:rPr>
              <w:tab/>
              <w:t>odkupienie pojazdu, przedmiotu wyposażenia lub części od podmiotu lub osoby</w:t>
            </w:r>
            <w:r w:rsidRPr="001C7DBF">
              <w:rPr>
                <w:b/>
                <w:i/>
              </w:rPr>
              <w:t xml:space="preserve"> </w:t>
            </w:r>
            <w:r w:rsidRPr="001C7DBF">
              <w:rPr>
                <w:rFonts w:asciiTheme="minorHAnsi" w:hAnsiTheme="minorHAnsi" w:cstheme="minorHAnsi"/>
                <w:b/>
                <w:i/>
                <w:sz w:val="22"/>
                <w:szCs w:val="22"/>
              </w:rPr>
              <w:t>posiadającej tytuł prawny do tego pojazdu, przedmiotu wyposażenia lub części albo</w:t>
            </w:r>
          </w:p>
          <w:p w14:paraId="4E50D938" w14:textId="14515C5C" w:rsidR="0059404D" w:rsidRPr="001C7DBF" w:rsidRDefault="0059404D" w:rsidP="0042202B">
            <w:pPr>
              <w:pStyle w:val="ZTIRwPKTzmtirwpktartykuempunktem"/>
              <w:spacing w:line="240" w:lineRule="auto"/>
              <w:ind w:left="1105"/>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b) </w:t>
            </w:r>
            <w:r w:rsidRPr="001C7DBF">
              <w:rPr>
                <w:rFonts w:asciiTheme="minorHAnsi" w:hAnsiTheme="minorHAnsi" w:cstheme="minorHAnsi"/>
                <w:b/>
                <w:i/>
                <w:sz w:val="22"/>
                <w:szCs w:val="22"/>
              </w:rPr>
              <w:tab/>
              <w:t>wymianę na nowy pojazd, przedmiot wyposażenia lub część spełniające wymagania techniczne, na podstawie dokumentu potwierdzającego ich zakup.</w:t>
            </w:r>
          </w:p>
          <w:p w14:paraId="0EAA06E6" w14:textId="77777777" w:rsidR="0059404D" w:rsidRPr="001C7DBF"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2. Dyrektor TDT jako organ nadzoru rynku weryfikuje przedstawione przez podmiot gospodarczy planowane działania, o których mowa w ust. 1, oraz ustala ich zakres. </w:t>
            </w:r>
          </w:p>
          <w:p w14:paraId="5F5F220E" w14:textId="7EDF37DD" w:rsidR="0059404D" w:rsidRPr="001C7DBF"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lastRenderedPageBreak/>
              <w:t xml:space="preserve">3. Podmiot gospodarczy jest zobowiązany do informowania Dyrektora TDT o postępie w realizacji podjętych działań, o których mowa w ust. 1, co najmniej raz na kwartał.” </w:t>
            </w:r>
          </w:p>
        </w:tc>
        <w:tc>
          <w:tcPr>
            <w:tcW w:w="3686" w:type="dxa"/>
          </w:tcPr>
          <w:p w14:paraId="5A65E0F1"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08CB4F34"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6FD58211" w14:textId="77777777" w:rsidR="007B6387" w:rsidRDefault="007B6387" w:rsidP="0042202B">
            <w:pPr>
              <w:rPr>
                <w:rFonts w:cstheme="minorHAnsi"/>
                <w:b/>
              </w:rPr>
            </w:pPr>
          </w:p>
          <w:p w14:paraId="28C7EFC9" w14:textId="77777777" w:rsidR="007B6387" w:rsidRDefault="007B6387" w:rsidP="0042202B">
            <w:pPr>
              <w:rPr>
                <w:rFonts w:cstheme="minorHAnsi"/>
                <w:b/>
              </w:rPr>
            </w:pPr>
          </w:p>
          <w:p w14:paraId="1946B4C9"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E3263C4" w14:textId="6CEBAFE6" w:rsidR="007B6387" w:rsidRPr="001F44A3" w:rsidRDefault="007B6387" w:rsidP="0042202B">
            <w:pPr>
              <w:rPr>
                <w:rFonts w:cstheme="minorHAnsi"/>
                <w:b/>
              </w:rPr>
            </w:pPr>
          </w:p>
        </w:tc>
      </w:tr>
      <w:tr w:rsidR="0059404D" w:rsidRPr="00F515D6" w14:paraId="08F71863" w14:textId="1E2A5AE7" w:rsidTr="00D76FE7">
        <w:tc>
          <w:tcPr>
            <w:tcW w:w="562" w:type="dxa"/>
          </w:tcPr>
          <w:p w14:paraId="25445B87" w14:textId="14A2BE1E" w:rsidR="0059404D" w:rsidRPr="001C7DBF" w:rsidRDefault="0059404D" w:rsidP="0042202B">
            <w:pPr>
              <w:rPr>
                <w:rFonts w:cstheme="minorHAnsi"/>
                <w:b/>
              </w:rPr>
            </w:pPr>
            <w:r w:rsidRPr="001C7DBF">
              <w:rPr>
                <w:rFonts w:cstheme="minorHAnsi"/>
                <w:b/>
              </w:rPr>
              <w:lastRenderedPageBreak/>
              <w:t>8</w:t>
            </w:r>
          </w:p>
        </w:tc>
        <w:tc>
          <w:tcPr>
            <w:tcW w:w="993" w:type="dxa"/>
          </w:tcPr>
          <w:p w14:paraId="4A781126" w14:textId="56AF5E7E" w:rsidR="0059404D" w:rsidRPr="001C7DBF" w:rsidRDefault="0059404D" w:rsidP="0042202B">
            <w:pPr>
              <w:rPr>
                <w:rFonts w:cstheme="minorHAnsi"/>
                <w:b/>
              </w:rPr>
            </w:pPr>
            <w:r w:rsidRPr="001C7DBF">
              <w:rPr>
                <w:rFonts w:cstheme="minorHAnsi"/>
                <w:b/>
              </w:rPr>
              <w:t>RCL</w:t>
            </w:r>
          </w:p>
        </w:tc>
        <w:tc>
          <w:tcPr>
            <w:tcW w:w="1701" w:type="dxa"/>
          </w:tcPr>
          <w:p w14:paraId="7B36C71A" w14:textId="76AE901B" w:rsidR="0059404D" w:rsidRPr="001C7DBF" w:rsidRDefault="0059404D" w:rsidP="0042202B">
            <w:pPr>
              <w:rPr>
                <w:rFonts w:cstheme="minorHAnsi"/>
                <w:b/>
              </w:rPr>
            </w:pPr>
            <w:r w:rsidRPr="001C7DBF">
              <w:rPr>
                <w:rFonts w:cstheme="minorHAnsi"/>
                <w:b/>
              </w:rPr>
              <w:t>Art. 53b UH</w:t>
            </w:r>
          </w:p>
        </w:tc>
        <w:tc>
          <w:tcPr>
            <w:tcW w:w="5953" w:type="dxa"/>
          </w:tcPr>
          <w:p w14:paraId="63DD57D3" w14:textId="77777777" w:rsidR="0059404D" w:rsidRPr="001C7DBF" w:rsidRDefault="0059404D" w:rsidP="0042202B">
            <w:pPr>
              <w:widowControl w:val="0"/>
              <w:tabs>
                <w:tab w:val="left" w:pos="735"/>
              </w:tabs>
              <w:rPr>
                <w:rFonts w:cstheme="minorHAnsi"/>
                <w:b/>
              </w:rPr>
            </w:pPr>
            <w:r w:rsidRPr="001C7DBF">
              <w:rPr>
                <w:rFonts w:cstheme="minorHAnsi"/>
                <w:b/>
              </w:rPr>
              <w:t>W art. 1 pkt 8 projektu w projektowanym art. 53b:</w:t>
            </w:r>
          </w:p>
          <w:p w14:paraId="3D7F14B1" w14:textId="4BE3EB84" w:rsidR="0059404D" w:rsidRPr="001C7DBF" w:rsidRDefault="0059404D" w:rsidP="0042202B">
            <w:pPr>
              <w:widowControl w:val="0"/>
              <w:numPr>
                <w:ilvl w:val="0"/>
                <w:numId w:val="3"/>
              </w:numPr>
              <w:tabs>
                <w:tab w:val="left" w:pos="1148"/>
              </w:tabs>
              <w:ind w:hanging="420"/>
              <w:rPr>
                <w:rFonts w:cstheme="minorHAnsi"/>
                <w:b/>
              </w:rPr>
            </w:pPr>
            <w:r w:rsidRPr="001C7DBF">
              <w:rPr>
                <w:rFonts w:cstheme="minorHAnsi"/>
                <w:b/>
              </w:rPr>
              <w:t>1) zastrzeżenia budzi ust. 3, zgodnie z którym Dyrektor TDT wydaje decyzję w sprawie wycofania z rynku pojazdu, przedmiotu wyposażenia lub części, jeżeli przepisy Unii Europejskiej przewidują takie wycofanie; ogólne odesłanie do przepisów Unii Europejskiej należy sprecyzować;</w:t>
            </w:r>
          </w:p>
          <w:p w14:paraId="4F499860" w14:textId="1004CB4F" w:rsidR="0059404D" w:rsidRPr="001C7DBF" w:rsidRDefault="0059404D" w:rsidP="0042202B">
            <w:pPr>
              <w:widowControl w:val="0"/>
              <w:numPr>
                <w:ilvl w:val="0"/>
                <w:numId w:val="3"/>
              </w:numPr>
              <w:tabs>
                <w:tab w:val="left" w:pos="1148"/>
              </w:tabs>
              <w:ind w:hanging="420"/>
              <w:rPr>
                <w:rFonts w:cstheme="minorHAnsi"/>
                <w:b/>
              </w:rPr>
            </w:pPr>
            <w:r w:rsidRPr="001C7DBF">
              <w:rPr>
                <w:rFonts w:cstheme="minorHAnsi"/>
                <w:b/>
              </w:rPr>
              <w:t>2) w ust. 4 przesłanki, od których jest uzależnione zastosowanie przez Dyrektora TDT środków, o których mowa w ust. 1 i 2, powinny być ujęte w katalogu zamkniętym; dlatego należy skreślić wyrazy „w szczególności”;</w:t>
            </w:r>
          </w:p>
          <w:p w14:paraId="55677F0E" w14:textId="265D0BB4" w:rsidR="0059404D" w:rsidRPr="001C7DBF" w:rsidRDefault="0059404D" w:rsidP="0042202B">
            <w:pPr>
              <w:widowControl w:val="0"/>
              <w:numPr>
                <w:ilvl w:val="0"/>
                <w:numId w:val="3"/>
              </w:numPr>
              <w:tabs>
                <w:tab w:val="left" w:pos="1133"/>
              </w:tabs>
              <w:ind w:hanging="420"/>
              <w:rPr>
                <w:rFonts w:cstheme="minorHAnsi"/>
                <w:b/>
              </w:rPr>
            </w:pPr>
            <w:r w:rsidRPr="001C7DBF">
              <w:rPr>
                <w:rFonts w:cstheme="minorHAnsi"/>
                <w:b/>
              </w:rPr>
              <w:t xml:space="preserve">3) w ust. 7 określono m.in., że Dyrektor TDT powiadamia o wydaniu decyzji, o której mowa </w:t>
            </w:r>
            <w:r w:rsidRPr="001C7DBF">
              <w:rPr>
                <w:rStyle w:val="Teksttreci20"/>
                <w:rFonts w:asciiTheme="minorHAnsi" w:eastAsiaTheme="minorHAnsi" w:hAnsiTheme="minorHAnsi" w:cstheme="minorHAnsi"/>
                <w:b/>
                <w:sz w:val="22"/>
                <w:szCs w:val="22"/>
                <w:u w:val="none"/>
              </w:rPr>
              <w:t>w ust. 1 lub 3,</w:t>
            </w:r>
            <w:r w:rsidRPr="001C7DBF">
              <w:rPr>
                <w:rFonts w:cstheme="minorHAnsi"/>
                <w:b/>
              </w:rPr>
              <w:t xml:space="preserve"> opinię publiczną w trybie określonym w art. 68u ustawy; wydaje się, że tryb powiadamiania został określony w art. 68t ustawy; ponadto wydaje się, że korekty wymaga również przepis art. 68t ust. 1 pkt 3 w zakresie, w jakim odwołuje się jedynie do decyzji, o których mowa w art. 53b ust. 1 ustawy, podczas gdy projektowane przepisy wskazują na konieczność powiadamiana opinii publicznej o wydaniu decyzji, o których mowa w art. 53b ust. 1 lub 3; jednocześnie wyjaśnienie wymaga, czy celowe są rozwiązania, zgodnie z którymi Dyrektor TDT obligatoryjnie ma powiadamiać o wydaniu decyzji, co wynika z art. 53b ust. 7, oraz że Dyrektor TDT może podawać do publicznej wiadomości decyzje, co wynika z art. </w:t>
            </w:r>
            <w:r w:rsidRPr="001C7DBF">
              <w:rPr>
                <w:rFonts w:cstheme="minorHAnsi"/>
                <w:b/>
              </w:rPr>
              <w:lastRenderedPageBreak/>
              <w:t>68t ust. 1 pkt 3, a jeżeli tak, to co najmniej wyjaśnienia wymaga od czego będzie zależeć to, czy Dyrektor TDT będzie podawał decyzje do publicznej wiadomości;</w:t>
            </w:r>
          </w:p>
          <w:p w14:paraId="7E82104D" w14:textId="7CA0EEA2" w:rsidR="0059404D" w:rsidRPr="001C7DBF" w:rsidRDefault="0059404D" w:rsidP="0042202B">
            <w:pPr>
              <w:widowControl w:val="0"/>
              <w:numPr>
                <w:ilvl w:val="0"/>
                <w:numId w:val="3"/>
              </w:numPr>
              <w:tabs>
                <w:tab w:val="left" w:pos="1133"/>
              </w:tabs>
              <w:ind w:hanging="420"/>
              <w:rPr>
                <w:rFonts w:cstheme="minorHAnsi"/>
                <w:b/>
              </w:rPr>
            </w:pPr>
            <w:r w:rsidRPr="001C7DBF">
              <w:rPr>
                <w:rFonts w:cstheme="minorHAnsi"/>
                <w:b/>
              </w:rPr>
              <w:t xml:space="preserve">4) w ust. 9 zastrzeżenia budzi wskazanie, że w celu potwierdzenia wykonania decyzji Dyrektor TDT </w:t>
            </w:r>
            <w:r w:rsidRPr="001C7DBF">
              <w:rPr>
                <w:rStyle w:val="Teksttreci20"/>
                <w:rFonts w:asciiTheme="minorHAnsi" w:eastAsiaTheme="minorHAnsi" w:hAnsiTheme="minorHAnsi" w:cstheme="minorHAnsi"/>
                <w:b/>
                <w:sz w:val="22"/>
                <w:szCs w:val="22"/>
                <w:u w:val="none"/>
              </w:rPr>
              <w:t>może</w:t>
            </w:r>
            <w:r w:rsidRPr="001C7DBF">
              <w:rPr>
                <w:rFonts w:cstheme="minorHAnsi"/>
                <w:b/>
              </w:rPr>
              <w:t xml:space="preserve"> przeprowadzić kontrolę; powstaje pytanie, czy w celu potwierdzenia wykonania decyzji Dyrektor TDT nie powinien obligatoryjnie wykonywać kontroli; wydaje się, że tylko wówczas projektowane regulacje byłyby skuteczne;</w:t>
            </w:r>
          </w:p>
          <w:p w14:paraId="5EB86078" w14:textId="138701F2" w:rsidR="0059404D" w:rsidRPr="001C7DBF" w:rsidRDefault="0059404D" w:rsidP="0042202B">
            <w:pPr>
              <w:widowControl w:val="0"/>
              <w:numPr>
                <w:ilvl w:val="0"/>
                <w:numId w:val="3"/>
              </w:numPr>
              <w:tabs>
                <w:tab w:val="left" w:pos="1133"/>
              </w:tabs>
              <w:ind w:hanging="420"/>
              <w:rPr>
                <w:rFonts w:cstheme="minorHAnsi"/>
                <w:b/>
              </w:rPr>
            </w:pPr>
            <w:r w:rsidRPr="001C7DBF">
              <w:rPr>
                <w:rFonts w:cstheme="minorHAnsi"/>
                <w:b/>
              </w:rPr>
              <w:t xml:space="preserve">5) w ust. 12 zamieszczony został przepis upoważniający, zgodnie z którym minister właściwy do spraw transportu określi, w drodze rozporządzenia, </w:t>
            </w:r>
            <w:r w:rsidRPr="001C7DBF">
              <w:rPr>
                <w:rStyle w:val="Teksttreci20"/>
                <w:rFonts w:asciiTheme="minorHAnsi" w:eastAsiaTheme="minorHAnsi" w:hAnsiTheme="minorHAnsi" w:cstheme="minorHAnsi"/>
                <w:b/>
                <w:sz w:val="22"/>
                <w:szCs w:val="22"/>
                <w:u w:val="none"/>
              </w:rPr>
              <w:t>szczegółowy</w:t>
            </w:r>
            <w:r w:rsidRPr="001C7DBF">
              <w:rPr>
                <w:rFonts w:cstheme="minorHAnsi"/>
                <w:b/>
              </w:rPr>
              <w:t xml:space="preserve"> tryb postępowania przy zniszczeniu pojazdu, przedmiotu wyposażenia lub części, uwzględniając poważny stopień ryzyka dla bezpieczeństwa, ochrony zdrowia, w tym zdrowia użytkowników pojazdu, przedmiotu wyposażenia lub części, oraz środowiska, celem zachowania bezpieczeństwa użytkowników pojazdu oraz ruchu drogowego; upoważnienie to budzi zastrzeżenia w zakresie wskazania na szczegółowy tryb; w ustawie oraz w opiniowanym projekcie brak jest ogólnych przepisów merytorycznych dotyczących trybu postępowania przy zniszczeniu pojazdu, przedmiotu wyposażenia lub części; z tego względu ww. przepis wymaga ponownej analizy i poprawy;</w:t>
            </w:r>
          </w:p>
          <w:p w14:paraId="40DCC16E" w14:textId="77777777" w:rsidR="0059404D" w:rsidRPr="001C7DBF" w:rsidRDefault="0059404D" w:rsidP="0042202B">
            <w:pPr>
              <w:widowControl w:val="0"/>
              <w:numPr>
                <w:ilvl w:val="0"/>
                <w:numId w:val="3"/>
              </w:numPr>
              <w:tabs>
                <w:tab w:val="left" w:pos="1133"/>
              </w:tabs>
              <w:ind w:hanging="420"/>
              <w:rPr>
                <w:rFonts w:cstheme="minorHAnsi"/>
                <w:b/>
              </w:rPr>
            </w:pPr>
            <w:r w:rsidRPr="001C7DBF">
              <w:rPr>
                <w:rFonts w:cstheme="minorHAnsi"/>
                <w:b/>
              </w:rPr>
              <w:t xml:space="preserve">w projektowanym art. 53b należy również doprecyzować, tak jak w projektowanych przepisach art. 68o i art. 71c ust. 1, że chodzi o decyzję administracyjną. </w:t>
            </w:r>
          </w:p>
          <w:p w14:paraId="7F812AA6" w14:textId="6531C198" w:rsidR="0059404D" w:rsidRPr="001C7DBF" w:rsidRDefault="0059404D" w:rsidP="0042202B">
            <w:pPr>
              <w:widowControl w:val="0"/>
              <w:numPr>
                <w:ilvl w:val="0"/>
                <w:numId w:val="3"/>
              </w:numPr>
              <w:tabs>
                <w:tab w:val="left" w:pos="1133"/>
              </w:tabs>
              <w:ind w:hanging="420"/>
              <w:rPr>
                <w:rFonts w:cstheme="minorHAnsi"/>
                <w:b/>
              </w:rPr>
            </w:pPr>
            <w:r w:rsidRPr="001C7DBF">
              <w:rPr>
                <w:rFonts w:cstheme="minorHAnsi"/>
                <w:b/>
              </w:rPr>
              <w:t>Analogiczna uwaga dotyczy innych projektowanych przepisów dotyczących wydawania decyzji administracyjnych.</w:t>
            </w:r>
          </w:p>
        </w:tc>
        <w:tc>
          <w:tcPr>
            <w:tcW w:w="3827" w:type="dxa"/>
          </w:tcPr>
          <w:p w14:paraId="1EA76EEC" w14:textId="47386DF9" w:rsidR="0059404D" w:rsidRPr="00FC4BF9" w:rsidRDefault="0059404D" w:rsidP="0042202B">
            <w:pPr>
              <w:rPr>
                <w:rFonts w:cstheme="minorHAnsi"/>
                <w:b/>
              </w:rPr>
            </w:pPr>
            <w:r w:rsidRPr="00FC4BF9">
              <w:rPr>
                <w:rFonts w:cstheme="minorHAnsi"/>
                <w:b/>
              </w:rPr>
              <w:lastRenderedPageBreak/>
              <w:t xml:space="preserve">1) uwaga uwzględniona – wprowadzono w art. 53b ust. </w:t>
            </w:r>
            <w:r>
              <w:rPr>
                <w:rFonts w:cstheme="minorHAnsi"/>
                <w:b/>
              </w:rPr>
              <w:t>5</w:t>
            </w:r>
            <w:r w:rsidRPr="00FC4BF9">
              <w:rPr>
                <w:rFonts w:cstheme="minorHAnsi"/>
                <w:b/>
              </w:rPr>
              <w:t xml:space="preserve"> odwołanie do rozporządzenia 2019/1020 i informację w tym zakresie w uzasadnieniu.</w:t>
            </w:r>
          </w:p>
          <w:p w14:paraId="1A2B6752" w14:textId="3A91B3F8" w:rsidR="0059404D" w:rsidRPr="001C7DBF" w:rsidRDefault="0059404D" w:rsidP="0042202B">
            <w:pPr>
              <w:rPr>
                <w:b/>
                <w:i/>
              </w:rPr>
            </w:pPr>
            <w:r w:rsidRPr="001C7DBF">
              <w:rPr>
                <w:rFonts w:cstheme="minorHAnsi"/>
                <w:b/>
                <w:i/>
              </w:rPr>
              <w:t xml:space="preserve"> „Art. 53b ust. </w:t>
            </w:r>
            <w:r>
              <w:rPr>
                <w:rFonts w:cstheme="minorHAnsi"/>
                <w:b/>
                <w:i/>
              </w:rPr>
              <w:t>5</w:t>
            </w:r>
            <w:r w:rsidRPr="001C7DBF">
              <w:rPr>
                <w:rFonts w:cstheme="minorHAnsi"/>
                <w:b/>
                <w:i/>
              </w:rPr>
              <w:t xml:space="preserve">. </w:t>
            </w:r>
            <w:bookmarkStart w:id="8" w:name="_Hlk219303945"/>
            <w:r w:rsidRPr="001C7DBF">
              <w:rPr>
                <w:rFonts w:cstheme="minorHAnsi"/>
                <w:b/>
                <w:i/>
              </w:rPr>
              <w:t>W przypadku gdy przepisy rozporządzenia 2019/1020 przewidują wycofanie z rynku lub użytku pojazdu, przedmiotu wyposażenia lub części, Dyrektor TDT jako organ nadzoru rynku wydaje decyzję administracyjną w tej sprawie.”</w:t>
            </w:r>
          </w:p>
          <w:bookmarkEnd w:id="8"/>
          <w:p w14:paraId="37B026EB" w14:textId="26A4C522" w:rsidR="0059404D" w:rsidRPr="001C7DBF" w:rsidRDefault="0059404D" w:rsidP="0042202B">
            <w:pPr>
              <w:rPr>
                <w:rFonts w:cstheme="minorHAnsi"/>
                <w:b/>
                <w:i/>
              </w:rPr>
            </w:pPr>
          </w:p>
          <w:p w14:paraId="08E278AC" w14:textId="2842DEEF" w:rsidR="0059404D" w:rsidRDefault="0059404D" w:rsidP="0042202B">
            <w:pPr>
              <w:rPr>
                <w:rFonts w:cstheme="minorHAnsi"/>
                <w:b/>
              </w:rPr>
            </w:pPr>
            <w:r w:rsidRPr="00FC4BF9">
              <w:rPr>
                <w:rFonts w:cstheme="minorHAnsi"/>
                <w:b/>
              </w:rPr>
              <w:t>2) uwaga uwzględniona – skreślono „w szczególności”</w:t>
            </w:r>
            <w:r>
              <w:rPr>
                <w:rFonts w:cstheme="minorHAnsi"/>
                <w:b/>
              </w:rPr>
              <w:t>.</w:t>
            </w:r>
          </w:p>
          <w:p w14:paraId="286F34F1" w14:textId="77777777" w:rsidR="0059404D" w:rsidRPr="00FC4BF9" w:rsidRDefault="0059404D" w:rsidP="0042202B">
            <w:pPr>
              <w:rPr>
                <w:rFonts w:cstheme="minorHAnsi"/>
                <w:b/>
              </w:rPr>
            </w:pPr>
          </w:p>
          <w:p w14:paraId="58FB4180" w14:textId="69DC2A7F" w:rsidR="0059404D" w:rsidRPr="00FC4BF9" w:rsidRDefault="0059404D" w:rsidP="0042202B">
            <w:pPr>
              <w:rPr>
                <w:rFonts w:cstheme="minorHAnsi"/>
                <w:b/>
              </w:rPr>
            </w:pPr>
            <w:r w:rsidRPr="00FC4BF9">
              <w:rPr>
                <w:rFonts w:cstheme="minorHAnsi"/>
                <w:b/>
              </w:rPr>
              <w:t>3) uwaga uwzględniona poprzez zmianę odwołania do art. 68t, w tym wprowadzono w art. 68t obligatoryjność powiadamiania w każdym przypadku.</w:t>
            </w:r>
          </w:p>
          <w:p w14:paraId="3E572699" w14:textId="77777777" w:rsidR="0059404D" w:rsidRPr="001C7DBF" w:rsidRDefault="0059404D" w:rsidP="0042202B">
            <w:pPr>
              <w:rPr>
                <w:rFonts w:cstheme="minorHAnsi"/>
                <w:b/>
                <w:i/>
              </w:rPr>
            </w:pPr>
          </w:p>
          <w:p w14:paraId="5DB781E8" w14:textId="74793694" w:rsidR="0059404D" w:rsidRPr="001C7DBF"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lastRenderedPageBreak/>
              <w:t>„Art. 68t. 1. Dyrektor TDT jako organ nadzoru rynku podaje do publicznej wiadomości, w szczególności poprzez publikację na stronie podmiotowej Transportowego Dozoru Technicznego:</w:t>
            </w:r>
          </w:p>
          <w:p w14:paraId="63FF8083" w14:textId="77777777" w:rsidR="0059404D" w:rsidRPr="001C7DBF" w:rsidRDefault="0059404D" w:rsidP="0042202B">
            <w:pPr>
              <w:pStyle w:val="ZPKTzmpktartykuempunktem"/>
              <w:spacing w:line="240" w:lineRule="auto"/>
              <w:ind w:left="510"/>
              <w:jc w:val="left"/>
              <w:rPr>
                <w:rFonts w:asciiTheme="minorHAnsi" w:eastAsiaTheme="minorHAnsi" w:hAnsiTheme="minorHAnsi" w:cstheme="minorHAnsi"/>
                <w:b/>
                <w:bCs w:val="0"/>
                <w:i/>
                <w:sz w:val="22"/>
                <w:szCs w:val="22"/>
                <w:lang w:eastAsia="en-US"/>
              </w:rPr>
            </w:pPr>
            <w:r w:rsidRPr="001C7DBF">
              <w:rPr>
                <w:rFonts w:asciiTheme="minorHAnsi" w:eastAsiaTheme="minorHAnsi" w:hAnsiTheme="minorHAnsi" w:cstheme="minorHAnsi"/>
                <w:b/>
                <w:bCs w:val="0"/>
                <w:i/>
                <w:sz w:val="22"/>
                <w:szCs w:val="22"/>
                <w:lang w:eastAsia="en-US"/>
              </w:rPr>
              <w:t>1)</w:t>
            </w:r>
            <w:r w:rsidRPr="001C7DBF">
              <w:rPr>
                <w:rFonts w:asciiTheme="minorHAnsi" w:eastAsiaTheme="minorHAnsi" w:hAnsiTheme="minorHAnsi" w:cstheme="minorHAnsi"/>
                <w:b/>
                <w:bCs w:val="0"/>
                <w:i/>
                <w:sz w:val="22"/>
                <w:szCs w:val="22"/>
                <w:lang w:eastAsia="en-US"/>
              </w:rPr>
              <w:tab/>
              <w:t>komunikaty i ostrzeżenia dotyczące pojazdów, przedmiotów wyposażenia lub części, które są niezgodne z wymaganiami technicznymi lub stwarzają poważne ryzyko;</w:t>
            </w:r>
          </w:p>
          <w:p w14:paraId="5BF21C9F" w14:textId="79B22B7C" w:rsidR="0059404D" w:rsidRPr="001C7DBF" w:rsidRDefault="0059404D" w:rsidP="0042202B">
            <w:pPr>
              <w:pStyle w:val="ZPKTzmpktartykuempunktem"/>
              <w:keepNext/>
              <w:spacing w:line="240" w:lineRule="auto"/>
              <w:ind w:left="510"/>
              <w:jc w:val="left"/>
              <w:rPr>
                <w:rFonts w:asciiTheme="minorHAnsi" w:eastAsiaTheme="minorHAnsi" w:hAnsiTheme="minorHAnsi" w:cstheme="minorHAnsi"/>
                <w:b/>
                <w:bCs w:val="0"/>
                <w:i/>
                <w:sz w:val="22"/>
                <w:szCs w:val="22"/>
                <w:lang w:eastAsia="en-US"/>
              </w:rPr>
            </w:pPr>
            <w:r w:rsidRPr="001C7DBF">
              <w:rPr>
                <w:rFonts w:asciiTheme="minorHAnsi" w:eastAsiaTheme="minorHAnsi" w:hAnsiTheme="minorHAnsi" w:cstheme="minorHAnsi"/>
                <w:b/>
                <w:bCs w:val="0"/>
                <w:i/>
                <w:sz w:val="22"/>
                <w:szCs w:val="22"/>
                <w:lang w:eastAsia="en-US"/>
              </w:rPr>
              <w:t>2)</w:t>
            </w:r>
            <w:r w:rsidRPr="001C7DBF">
              <w:rPr>
                <w:rFonts w:asciiTheme="minorHAnsi" w:eastAsiaTheme="minorHAnsi" w:hAnsiTheme="minorHAnsi" w:cstheme="minorHAnsi"/>
                <w:b/>
                <w:bCs w:val="0"/>
                <w:i/>
                <w:sz w:val="22"/>
                <w:szCs w:val="22"/>
                <w:lang w:eastAsia="en-US"/>
              </w:rPr>
              <w:tab/>
              <w:t xml:space="preserve">informacje o przeprowadzonych kontrolach i ich wynikach </w:t>
            </w:r>
            <w:r>
              <w:rPr>
                <w:rFonts w:asciiTheme="minorHAnsi" w:eastAsiaTheme="minorHAnsi" w:hAnsiTheme="minorHAnsi" w:cstheme="minorHAnsi"/>
                <w:b/>
                <w:bCs w:val="0"/>
                <w:i/>
                <w:sz w:val="22"/>
                <w:szCs w:val="22"/>
                <w:lang w:eastAsia="en-US"/>
              </w:rPr>
              <w:t>zawierające</w:t>
            </w:r>
            <w:r w:rsidRPr="001C7DBF">
              <w:rPr>
                <w:rFonts w:asciiTheme="minorHAnsi" w:eastAsiaTheme="minorHAnsi" w:hAnsiTheme="minorHAnsi" w:cstheme="minorHAnsi"/>
                <w:b/>
                <w:bCs w:val="0"/>
                <w:i/>
                <w:sz w:val="22"/>
                <w:szCs w:val="22"/>
                <w:lang w:eastAsia="en-US"/>
              </w:rPr>
              <w:t xml:space="preserve"> dane identyfikujące:</w:t>
            </w:r>
          </w:p>
          <w:p w14:paraId="7240E357" w14:textId="77777777" w:rsidR="0059404D" w:rsidRPr="001C7DBF" w:rsidRDefault="0059404D" w:rsidP="0042202B">
            <w:pPr>
              <w:pStyle w:val="ZLITwPKTzmlitwpktartykuempunktem"/>
              <w:spacing w:line="240" w:lineRule="auto"/>
              <w:ind w:left="987"/>
              <w:jc w:val="left"/>
              <w:rPr>
                <w:rFonts w:asciiTheme="minorHAnsi" w:eastAsiaTheme="minorHAnsi" w:hAnsiTheme="minorHAnsi" w:cstheme="minorHAnsi"/>
                <w:b/>
                <w:bCs w:val="0"/>
                <w:i/>
                <w:sz w:val="22"/>
                <w:szCs w:val="22"/>
                <w:lang w:eastAsia="en-US"/>
              </w:rPr>
            </w:pPr>
            <w:r w:rsidRPr="001C7DBF">
              <w:rPr>
                <w:rFonts w:asciiTheme="minorHAnsi" w:eastAsiaTheme="minorHAnsi" w:hAnsiTheme="minorHAnsi" w:cstheme="minorHAnsi"/>
                <w:b/>
                <w:bCs w:val="0"/>
                <w:i/>
                <w:sz w:val="22"/>
                <w:szCs w:val="22"/>
                <w:lang w:eastAsia="en-US"/>
              </w:rPr>
              <w:t>a)</w:t>
            </w:r>
            <w:r w:rsidRPr="001C7DBF">
              <w:rPr>
                <w:rFonts w:asciiTheme="minorHAnsi" w:eastAsiaTheme="minorHAnsi" w:hAnsiTheme="minorHAnsi" w:cstheme="minorHAnsi"/>
                <w:b/>
                <w:bCs w:val="0"/>
                <w:i/>
                <w:sz w:val="22"/>
                <w:szCs w:val="22"/>
                <w:lang w:eastAsia="en-US"/>
              </w:rPr>
              <w:tab/>
              <w:t>podmiot gospodarczy udostępniający na rynku pojazd, przedmiot wyposażenia lub część w zakresie nazwy i adresu siedziby,</w:t>
            </w:r>
          </w:p>
          <w:p w14:paraId="3E5E69CE" w14:textId="77777777" w:rsidR="0059404D" w:rsidRPr="001C7DBF" w:rsidRDefault="0059404D" w:rsidP="0042202B">
            <w:pPr>
              <w:pStyle w:val="ZLITwPKTzmlitwpktartykuempunktem"/>
              <w:spacing w:line="240" w:lineRule="auto"/>
              <w:ind w:left="987"/>
              <w:jc w:val="left"/>
              <w:rPr>
                <w:rFonts w:asciiTheme="minorHAnsi" w:eastAsiaTheme="minorHAnsi" w:hAnsiTheme="minorHAnsi" w:cstheme="minorHAnsi"/>
                <w:b/>
                <w:bCs w:val="0"/>
                <w:i/>
                <w:sz w:val="22"/>
                <w:szCs w:val="22"/>
                <w:lang w:eastAsia="en-US"/>
              </w:rPr>
            </w:pPr>
            <w:r w:rsidRPr="001C7DBF">
              <w:rPr>
                <w:rFonts w:asciiTheme="minorHAnsi" w:eastAsiaTheme="minorHAnsi" w:hAnsiTheme="minorHAnsi" w:cstheme="minorHAnsi"/>
                <w:b/>
                <w:bCs w:val="0"/>
                <w:i/>
                <w:sz w:val="22"/>
                <w:szCs w:val="22"/>
                <w:lang w:eastAsia="en-US"/>
              </w:rPr>
              <w:t>b)</w:t>
            </w:r>
            <w:r w:rsidRPr="001C7DBF">
              <w:rPr>
                <w:rFonts w:asciiTheme="minorHAnsi" w:eastAsiaTheme="minorHAnsi" w:hAnsiTheme="minorHAnsi" w:cstheme="minorHAnsi"/>
                <w:b/>
                <w:bCs w:val="0"/>
                <w:i/>
                <w:sz w:val="22"/>
                <w:szCs w:val="22"/>
                <w:lang w:eastAsia="en-US"/>
              </w:rPr>
              <w:tab/>
              <w:t>pojazd, przedmiot wyposażenia lub część</w:t>
            </w:r>
            <w:r w:rsidRPr="001C7DBF" w:rsidDel="00A31BBF">
              <w:rPr>
                <w:rFonts w:asciiTheme="minorHAnsi" w:eastAsiaTheme="minorHAnsi" w:hAnsiTheme="minorHAnsi" w:cstheme="minorHAnsi"/>
                <w:b/>
                <w:bCs w:val="0"/>
                <w:i/>
                <w:sz w:val="22"/>
                <w:szCs w:val="22"/>
                <w:lang w:eastAsia="en-US"/>
              </w:rPr>
              <w:t xml:space="preserve"> </w:t>
            </w:r>
            <w:r w:rsidRPr="001C7DBF">
              <w:rPr>
                <w:rFonts w:asciiTheme="minorHAnsi" w:eastAsiaTheme="minorHAnsi" w:hAnsiTheme="minorHAnsi" w:cstheme="minorHAnsi"/>
                <w:b/>
                <w:bCs w:val="0"/>
                <w:i/>
                <w:sz w:val="22"/>
                <w:szCs w:val="22"/>
                <w:lang w:eastAsia="en-US"/>
              </w:rPr>
              <w:t>poddany kontroli oraz ich producenta;</w:t>
            </w:r>
          </w:p>
          <w:p w14:paraId="470DDE93" w14:textId="689AAAE3" w:rsidR="0059404D" w:rsidRPr="001C7DBF" w:rsidRDefault="0059404D" w:rsidP="0042202B">
            <w:pPr>
              <w:pStyle w:val="ZPKTzmpktartykuempunktem"/>
              <w:spacing w:line="240" w:lineRule="auto"/>
              <w:ind w:left="510"/>
              <w:jc w:val="left"/>
              <w:rPr>
                <w:rFonts w:asciiTheme="minorHAnsi" w:eastAsiaTheme="minorHAnsi" w:hAnsiTheme="minorHAnsi" w:cstheme="minorHAnsi"/>
                <w:b/>
                <w:bCs w:val="0"/>
                <w:i/>
                <w:sz w:val="22"/>
                <w:szCs w:val="22"/>
                <w:lang w:eastAsia="en-US"/>
              </w:rPr>
            </w:pPr>
            <w:r w:rsidRPr="001C7DBF">
              <w:rPr>
                <w:rFonts w:asciiTheme="minorHAnsi" w:eastAsiaTheme="minorHAnsi" w:hAnsiTheme="minorHAnsi" w:cstheme="minorHAnsi"/>
                <w:b/>
                <w:bCs w:val="0"/>
                <w:i/>
                <w:sz w:val="22"/>
                <w:szCs w:val="22"/>
                <w:lang w:eastAsia="en-US"/>
              </w:rPr>
              <w:t>3)</w:t>
            </w:r>
            <w:r w:rsidRPr="001C7DBF">
              <w:rPr>
                <w:rFonts w:asciiTheme="minorHAnsi" w:eastAsiaTheme="minorHAnsi" w:hAnsiTheme="minorHAnsi" w:cstheme="minorHAnsi"/>
                <w:b/>
                <w:bCs w:val="0"/>
                <w:i/>
                <w:sz w:val="22"/>
                <w:szCs w:val="22"/>
                <w:lang w:eastAsia="en-US"/>
              </w:rPr>
              <w:tab/>
              <w:t xml:space="preserve">decyzje, o których mowa w art. 53b ust. 1 lub ust. 3, </w:t>
            </w:r>
            <w:r>
              <w:rPr>
                <w:rFonts w:asciiTheme="minorHAnsi" w:eastAsiaTheme="minorHAnsi" w:hAnsiTheme="minorHAnsi" w:cstheme="minorHAnsi"/>
                <w:b/>
                <w:bCs w:val="0"/>
                <w:i/>
                <w:sz w:val="22"/>
                <w:szCs w:val="22"/>
                <w:lang w:eastAsia="en-US"/>
              </w:rPr>
              <w:t>ze wskazaniem czy</w:t>
            </w:r>
            <w:r w:rsidRPr="001C7DBF">
              <w:rPr>
                <w:rFonts w:asciiTheme="minorHAnsi" w:eastAsiaTheme="minorHAnsi" w:hAnsiTheme="minorHAnsi" w:cstheme="minorHAnsi"/>
                <w:b/>
                <w:bCs w:val="0"/>
                <w:i/>
                <w:sz w:val="22"/>
                <w:szCs w:val="22"/>
                <w:lang w:eastAsia="en-US"/>
              </w:rPr>
              <w:t xml:space="preserve"> </w:t>
            </w:r>
            <w:r>
              <w:rPr>
                <w:rFonts w:asciiTheme="minorHAnsi" w:eastAsiaTheme="minorHAnsi" w:hAnsiTheme="minorHAnsi" w:cstheme="minorHAnsi"/>
                <w:b/>
                <w:bCs w:val="0"/>
                <w:i/>
                <w:sz w:val="22"/>
                <w:szCs w:val="22"/>
                <w:lang w:eastAsia="en-US"/>
              </w:rPr>
              <w:t xml:space="preserve">decyzja </w:t>
            </w:r>
            <w:r w:rsidRPr="001C7DBF">
              <w:rPr>
                <w:rFonts w:asciiTheme="minorHAnsi" w:eastAsiaTheme="minorHAnsi" w:hAnsiTheme="minorHAnsi" w:cstheme="minorHAnsi"/>
                <w:b/>
                <w:bCs w:val="0"/>
                <w:i/>
                <w:sz w:val="22"/>
                <w:szCs w:val="22"/>
                <w:lang w:eastAsia="en-US"/>
              </w:rPr>
              <w:t xml:space="preserve">jest prawomocna, pomijając informacje stanowiące tajemnice </w:t>
            </w:r>
            <w:r w:rsidRPr="001C7DBF">
              <w:rPr>
                <w:rFonts w:asciiTheme="minorHAnsi" w:eastAsiaTheme="minorHAnsi" w:hAnsiTheme="minorHAnsi" w:cstheme="minorHAnsi"/>
                <w:b/>
                <w:bCs w:val="0"/>
                <w:i/>
                <w:sz w:val="22"/>
                <w:szCs w:val="22"/>
                <w:lang w:eastAsia="en-US"/>
              </w:rPr>
              <w:lastRenderedPageBreak/>
              <w:t>podlegające ochronie na podstawie przepisów odrębnych.</w:t>
            </w:r>
          </w:p>
          <w:p w14:paraId="7A2085F7" w14:textId="545CD767" w:rsidR="0059404D" w:rsidRPr="001C7DBF" w:rsidRDefault="0059404D" w:rsidP="0042202B">
            <w:pPr>
              <w:rPr>
                <w:rFonts w:cstheme="minorHAnsi"/>
                <w:b/>
                <w:i/>
              </w:rPr>
            </w:pPr>
            <w:r w:rsidRPr="001C7DBF">
              <w:rPr>
                <w:rFonts w:cstheme="minorHAnsi"/>
                <w:b/>
                <w:i/>
              </w:rPr>
              <w:t>2. W przypadku</w:t>
            </w:r>
            <w:r>
              <w:rPr>
                <w:rFonts w:cstheme="minorHAnsi"/>
                <w:b/>
                <w:i/>
              </w:rPr>
              <w:t>,</w:t>
            </w:r>
            <w:r w:rsidRPr="001C7DBF">
              <w:rPr>
                <w:rFonts w:cstheme="minorHAnsi"/>
                <w:b/>
                <w:i/>
              </w:rPr>
              <w:t xml:space="preserve"> gdy podmiotem</w:t>
            </w:r>
            <w:r>
              <w:rPr>
                <w:rFonts w:cstheme="minorHAnsi"/>
                <w:b/>
                <w:i/>
              </w:rPr>
              <w:t>,</w:t>
            </w:r>
            <w:r w:rsidRPr="001C7DBF">
              <w:rPr>
                <w:rFonts w:cstheme="minorHAnsi"/>
                <w:b/>
                <w:i/>
              </w:rPr>
              <w:t xml:space="preserve"> którego dotyczy publikacja, o której mowa w ust. 1 pkt 2 lub 3, jest osoba fizyczna wykonująca działalność gospodarczą, dane identyfikujące ten podmiot</w:t>
            </w:r>
            <w:r>
              <w:rPr>
                <w:rFonts w:cstheme="minorHAnsi"/>
                <w:b/>
                <w:i/>
              </w:rPr>
              <w:t xml:space="preserve"> </w:t>
            </w:r>
            <w:r w:rsidRPr="001C7DBF">
              <w:rPr>
                <w:rFonts w:cstheme="minorHAnsi"/>
                <w:b/>
                <w:i/>
              </w:rPr>
              <w:t>obejmują firmę i miejsce wykonywania działalności gospodarczej.</w:t>
            </w:r>
          </w:p>
          <w:p w14:paraId="4CC04965" w14:textId="77777777" w:rsidR="0059404D" w:rsidRPr="001C7DB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07CC7A7E" w14:textId="77777777" w:rsidR="0059404D" w:rsidRPr="001C7DB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4. W wykazie niezgodności</w:t>
            </w:r>
            <w:r w:rsidRPr="001C7DBF" w:rsidDel="00F720AF">
              <w:rPr>
                <w:rFonts w:asciiTheme="minorHAnsi" w:eastAsiaTheme="minorHAnsi" w:hAnsiTheme="minorHAnsi" w:cstheme="minorHAnsi"/>
                <w:b/>
                <w:i/>
                <w:sz w:val="22"/>
                <w:szCs w:val="22"/>
                <w:lang w:eastAsia="en-US"/>
              </w:rPr>
              <w:t xml:space="preserve"> </w:t>
            </w:r>
            <w:r w:rsidRPr="001C7DBF">
              <w:rPr>
                <w:rFonts w:asciiTheme="minorHAnsi" w:eastAsiaTheme="minorHAnsi" w:hAnsiTheme="minorHAnsi" w:cstheme="minorHAnsi"/>
                <w:b/>
                <w:i/>
                <w:sz w:val="22"/>
                <w:szCs w:val="22"/>
                <w:lang w:eastAsia="en-US"/>
              </w:rPr>
              <w:t>są gromadzone:</w:t>
            </w:r>
          </w:p>
          <w:p w14:paraId="4A83DC3C" w14:textId="77777777" w:rsidR="0059404D" w:rsidRPr="001C7DBF" w:rsidRDefault="0059404D" w:rsidP="0042202B">
            <w:pPr>
              <w:pStyle w:val="ZARTzmartartykuempunktem"/>
              <w:spacing w:line="240" w:lineRule="auto"/>
              <w:ind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1)</w:t>
            </w:r>
            <w:r w:rsidRPr="001C7DBF">
              <w:rPr>
                <w:rFonts w:asciiTheme="minorHAnsi" w:eastAsiaTheme="minorHAnsi" w:hAnsiTheme="minorHAnsi" w:cstheme="minorHAnsi"/>
                <w:b/>
                <w:i/>
                <w:sz w:val="22"/>
                <w:szCs w:val="22"/>
                <w:lang w:eastAsia="en-US"/>
              </w:rPr>
              <w:tab/>
              <w:t>dane umożliwiające identyfikację pojazdu, przedmiotu wyposażenia lub części;</w:t>
            </w:r>
          </w:p>
          <w:p w14:paraId="3FA4C6EF" w14:textId="77777777" w:rsidR="0059404D" w:rsidRPr="001C7DBF" w:rsidRDefault="0059404D" w:rsidP="0042202B">
            <w:pPr>
              <w:pStyle w:val="ZARTzmartartykuempunktem"/>
              <w:spacing w:line="240" w:lineRule="auto"/>
              <w:ind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2)</w:t>
            </w:r>
            <w:r w:rsidRPr="001C7DBF">
              <w:rPr>
                <w:rFonts w:asciiTheme="minorHAnsi" w:eastAsiaTheme="minorHAnsi" w:hAnsiTheme="minorHAnsi" w:cstheme="minorHAnsi"/>
                <w:b/>
                <w:i/>
                <w:sz w:val="22"/>
                <w:szCs w:val="22"/>
                <w:lang w:eastAsia="en-US"/>
              </w:rPr>
              <w:tab/>
              <w:t>informacje o:</w:t>
            </w:r>
          </w:p>
          <w:p w14:paraId="2F709033" w14:textId="77777777" w:rsidR="0059404D" w:rsidRPr="001C7DBF" w:rsidRDefault="0059404D" w:rsidP="0042202B">
            <w:pPr>
              <w:pStyle w:val="ZARTzmartartykuempunktem"/>
              <w:spacing w:line="240" w:lineRule="auto"/>
              <w:ind w:left="987" w:hanging="476"/>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a)</w:t>
            </w:r>
            <w:r w:rsidRPr="001C7DBF">
              <w:rPr>
                <w:rFonts w:asciiTheme="minorHAnsi" w:eastAsiaTheme="minorHAnsi" w:hAnsiTheme="minorHAnsi" w:cstheme="minorHAnsi"/>
                <w:b/>
                <w:i/>
                <w:sz w:val="22"/>
                <w:szCs w:val="22"/>
                <w:lang w:eastAsia="en-US"/>
              </w:rPr>
              <w:tab/>
              <w:t xml:space="preserve">rodzaju i zakresie niezgodności z wymaganiami technicznymi lub stwarzanym poważnym </w:t>
            </w:r>
            <w:r w:rsidRPr="001C7DBF">
              <w:rPr>
                <w:rFonts w:asciiTheme="minorHAnsi" w:eastAsiaTheme="minorHAnsi" w:hAnsiTheme="minorHAnsi" w:cstheme="minorHAnsi"/>
                <w:b/>
                <w:i/>
                <w:sz w:val="22"/>
                <w:szCs w:val="22"/>
                <w:lang w:eastAsia="en-US"/>
              </w:rPr>
              <w:lastRenderedPageBreak/>
              <w:t>ryzykiem przez pojazd, przedmiot wyposażenia lub część,</w:t>
            </w:r>
          </w:p>
          <w:p w14:paraId="0C58B20C" w14:textId="77777777" w:rsidR="0059404D" w:rsidRPr="001C7DBF" w:rsidRDefault="0059404D" w:rsidP="0042202B">
            <w:pPr>
              <w:pStyle w:val="ZARTzmartartykuempunktem"/>
              <w:spacing w:line="240" w:lineRule="auto"/>
              <w:ind w:left="987" w:hanging="476"/>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b)</w:t>
            </w:r>
            <w:r w:rsidRPr="001C7DBF">
              <w:rPr>
                <w:rFonts w:asciiTheme="minorHAnsi" w:eastAsiaTheme="minorHAnsi" w:hAnsiTheme="minorHAnsi" w:cstheme="minorHAnsi"/>
                <w:b/>
                <w:i/>
                <w:sz w:val="22"/>
                <w:szCs w:val="22"/>
                <w:lang w:eastAsia="en-US"/>
              </w:rPr>
              <w:tab/>
              <w:t>środkach, jakie zastosowano w odniesieniu do pojazdu, przedmiotu wyposażenia lub części.</w:t>
            </w:r>
          </w:p>
          <w:p w14:paraId="585CD067" w14:textId="7BB3DF66" w:rsidR="0059404D" w:rsidRPr="00E7337E"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5. Dyrektor TDT jako organ nadzoru rynku dokonuje wpis</w:t>
            </w:r>
            <w:r>
              <w:rPr>
                <w:rFonts w:asciiTheme="minorHAnsi" w:eastAsiaTheme="minorHAnsi" w:hAnsiTheme="minorHAnsi" w:cstheme="minorHAnsi"/>
                <w:b/>
                <w:i/>
                <w:sz w:val="22"/>
                <w:szCs w:val="22"/>
                <w:lang w:eastAsia="en-US"/>
              </w:rPr>
              <w:t>u</w:t>
            </w:r>
            <w:r w:rsidRPr="001C7DBF">
              <w:rPr>
                <w:rFonts w:asciiTheme="minorHAnsi" w:eastAsiaTheme="minorHAnsi" w:hAnsiTheme="minorHAnsi" w:cstheme="minorHAnsi"/>
                <w:b/>
                <w:i/>
                <w:sz w:val="22"/>
                <w:szCs w:val="22"/>
                <w:lang w:eastAsia="en-US"/>
              </w:rPr>
              <w:t xml:space="preserve"> do wykazu niezgodności</w:t>
            </w:r>
            <w:r w:rsidRPr="001C7DBF" w:rsidDel="00F720AF">
              <w:rPr>
                <w:rFonts w:asciiTheme="minorHAnsi" w:eastAsiaTheme="minorHAnsi" w:hAnsiTheme="minorHAnsi" w:cstheme="minorHAnsi"/>
                <w:b/>
                <w:i/>
                <w:sz w:val="22"/>
                <w:szCs w:val="22"/>
                <w:lang w:eastAsia="en-US"/>
              </w:rPr>
              <w:t xml:space="preserve"> </w:t>
            </w:r>
            <w:r w:rsidRPr="0012099F">
              <w:rPr>
                <w:rFonts w:ascii="Times New Roman" w:eastAsia="Times New Roman" w:hAnsi="Times New Roman" w:cs="Times New Roman"/>
                <w:color w:val="333333"/>
                <w:szCs w:val="24"/>
              </w:rPr>
              <w:t xml:space="preserve"> </w:t>
            </w:r>
            <w:r w:rsidRPr="00E7337E">
              <w:rPr>
                <w:rFonts w:asciiTheme="minorHAnsi" w:eastAsiaTheme="minorHAnsi" w:hAnsiTheme="minorHAnsi" w:cstheme="minorHAnsi"/>
                <w:b/>
                <w:i/>
                <w:sz w:val="22"/>
                <w:szCs w:val="22"/>
                <w:lang w:eastAsia="en-US"/>
              </w:rPr>
              <w:t>niezwłocznie po dniu, w którym decyzja, o której mowa w art. 68ze ust. 6, stała się ostateczna, lub niezwłocznie po otrzymaniu zawiadomienia w systemie RAPEX o wydaniu ostatecznej decyzji przez organ nadzoru rynku innego państwa członkowskiego Unii Europejskiej.</w:t>
            </w:r>
          </w:p>
          <w:p w14:paraId="1213A003" w14:textId="563C0A1D" w:rsidR="0059404D" w:rsidRPr="001C7DB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6. Dyrektor TDT jako organ nadzoru rynku, na wniosek innego organu nadzoru rynku lub z urzędu, usuwa wpis z wykazu niezgodności, w przypadku gdy:</w:t>
            </w:r>
          </w:p>
          <w:p w14:paraId="15EE46CB" w14:textId="7EC8682E" w:rsidR="0059404D" w:rsidRPr="001C7DBF" w:rsidRDefault="0059404D" w:rsidP="0042202B">
            <w:pPr>
              <w:pStyle w:val="ZARTzmartartykuempunktem"/>
              <w:spacing w:line="240" w:lineRule="auto"/>
              <w:ind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1)</w:t>
            </w:r>
            <w:r w:rsidRPr="001C7DBF">
              <w:rPr>
                <w:rFonts w:asciiTheme="minorHAnsi" w:eastAsiaTheme="minorHAnsi" w:hAnsiTheme="minorHAnsi" w:cstheme="minorHAnsi"/>
                <w:b/>
                <w:i/>
                <w:sz w:val="22"/>
                <w:szCs w:val="22"/>
                <w:lang w:eastAsia="en-US"/>
              </w:rPr>
              <w:tab/>
              <w:t xml:space="preserve">strona postępowania, o którym mowa w art. 68ze ust. 6, wykaże, że wykonała decyzję, o której mowa w art. 53b; wpis usuwa się nie wcześniej niż po upływie 3 miesięcy od dnia </w:t>
            </w:r>
            <w:r>
              <w:rPr>
                <w:rFonts w:asciiTheme="minorHAnsi" w:eastAsiaTheme="minorHAnsi" w:hAnsiTheme="minorHAnsi" w:cstheme="minorHAnsi"/>
                <w:b/>
                <w:i/>
                <w:sz w:val="22"/>
                <w:szCs w:val="22"/>
                <w:lang w:eastAsia="en-US"/>
              </w:rPr>
              <w:t>wykazania wykonania decyzji</w:t>
            </w:r>
            <w:r w:rsidRPr="001C7DBF">
              <w:rPr>
                <w:rFonts w:asciiTheme="minorHAnsi" w:eastAsiaTheme="minorHAnsi" w:hAnsiTheme="minorHAnsi" w:cstheme="minorHAnsi"/>
                <w:b/>
                <w:i/>
                <w:sz w:val="22"/>
                <w:szCs w:val="22"/>
                <w:lang w:eastAsia="en-US"/>
              </w:rPr>
              <w:t>;</w:t>
            </w:r>
          </w:p>
          <w:p w14:paraId="711E99F5" w14:textId="3C3AA8CB" w:rsidR="0059404D" w:rsidRPr="001C7DBF" w:rsidRDefault="0059404D" w:rsidP="0042202B">
            <w:pPr>
              <w:pStyle w:val="ZARTzmartartykuempunktem"/>
              <w:spacing w:line="240" w:lineRule="auto"/>
              <w:ind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lastRenderedPageBreak/>
              <w:t>2)</w:t>
            </w:r>
            <w:r w:rsidRPr="001C7DBF">
              <w:rPr>
                <w:rFonts w:asciiTheme="minorHAnsi" w:eastAsiaTheme="minorHAnsi" w:hAnsiTheme="minorHAnsi" w:cstheme="minorHAnsi"/>
                <w:b/>
                <w:i/>
                <w:sz w:val="22"/>
                <w:szCs w:val="22"/>
                <w:lang w:eastAsia="en-US"/>
              </w:rPr>
              <w:tab/>
              <w:t xml:space="preserve">podmiot gospodarczy, będący stroną postępowania, o którym mowa w art. 68 ze ust. 6, zaprzestał prowadzenia działalności gospodarczej; wpis usuwa się nie wcześniej niż po upływie 24 miesięcy od dnia zaprzestania prowadzenia działalności gospodarczej przez </w:t>
            </w:r>
            <w:r>
              <w:rPr>
                <w:rFonts w:asciiTheme="minorHAnsi" w:eastAsiaTheme="minorHAnsi" w:hAnsiTheme="minorHAnsi" w:cstheme="minorHAnsi"/>
                <w:b/>
                <w:i/>
                <w:sz w:val="22"/>
                <w:szCs w:val="22"/>
                <w:lang w:eastAsia="en-US"/>
              </w:rPr>
              <w:t xml:space="preserve">ten </w:t>
            </w:r>
            <w:r w:rsidRPr="001C7DBF">
              <w:rPr>
                <w:rFonts w:asciiTheme="minorHAnsi" w:eastAsiaTheme="minorHAnsi" w:hAnsiTheme="minorHAnsi" w:cstheme="minorHAnsi"/>
                <w:b/>
                <w:i/>
                <w:sz w:val="22"/>
                <w:szCs w:val="22"/>
                <w:lang w:eastAsia="en-US"/>
              </w:rPr>
              <w:t>podmiot.</w:t>
            </w:r>
          </w:p>
          <w:p w14:paraId="3E053F65" w14:textId="08C06CF4" w:rsidR="0059404D" w:rsidRPr="001C7DB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7. Dyrektor TDT jako organ nadzoru rynku może w każdym czasie podać do publicznej wiadomości informacje zawarte w wykazie niezgodności.</w:t>
            </w:r>
          </w:p>
          <w:p w14:paraId="6A5DD50A" w14:textId="77777777" w:rsidR="0059404D" w:rsidRPr="001C7DBF" w:rsidRDefault="0059404D" w:rsidP="0042202B">
            <w:pPr>
              <w:shd w:val="clear" w:color="auto" w:fill="FFFFFF"/>
              <w:rPr>
                <w:rFonts w:cstheme="minorHAnsi"/>
                <w:b/>
                <w:i/>
              </w:rPr>
            </w:pPr>
            <w:r w:rsidRPr="001C7DBF">
              <w:rPr>
                <w:rFonts w:cstheme="minorHAnsi"/>
                <w:b/>
                <w:i/>
              </w:rPr>
              <w:t>8. Wykaz niezgodności jest prowadzony z wykorzystaniem systemu teleinformatycznego.</w:t>
            </w:r>
          </w:p>
          <w:p w14:paraId="2CC2C82F" w14:textId="77777777" w:rsidR="0059404D" w:rsidRPr="001C7DBF" w:rsidRDefault="0059404D" w:rsidP="0042202B">
            <w:pPr>
              <w:shd w:val="clear" w:color="auto" w:fill="FFFFFF"/>
              <w:rPr>
                <w:rFonts w:cstheme="minorHAnsi"/>
                <w:b/>
                <w:i/>
              </w:rPr>
            </w:pPr>
            <w:r w:rsidRPr="001C7DBF">
              <w:rPr>
                <w:rFonts w:cstheme="minorHAnsi"/>
                <w:b/>
                <w:i/>
              </w:rPr>
              <w:t>9. Każdy wpis do wykazu niezgodności</w:t>
            </w:r>
            <w:r w:rsidRPr="001C7DBF" w:rsidDel="00F720AF">
              <w:rPr>
                <w:rFonts w:cstheme="minorHAnsi"/>
                <w:b/>
                <w:i/>
              </w:rPr>
              <w:t xml:space="preserve"> </w:t>
            </w:r>
            <w:r w:rsidRPr="001C7DBF">
              <w:rPr>
                <w:rFonts w:cstheme="minorHAnsi"/>
                <w:b/>
                <w:i/>
              </w:rPr>
              <w:t>dotyczy jednego pojazdu, przedmiotu wyposażenia lub części.</w:t>
            </w:r>
          </w:p>
          <w:p w14:paraId="47868DF6" w14:textId="77777777" w:rsidR="0059404D" w:rsidRPr="001C7DBF" w:rsidRDefault="0059404D" w:rsidP="0042202B">
            <w:pPr>
              <w:shd w:val="clear" w:color="auto" w:fill="FFFFFF"/>
              <w:rPr>
                <w:rFonts w:cstheme="minorHAnsi"/>
                <w:b/>
                <w:i/>
              </w:rPr>
            </w:pPr>
            <w:r w:rsidRPr="001C7DBF">
              <w:rPr>
                <w:rFonts w:cstheme="minorHAnsi"/>
                <w:b/>
                <w:i/>
              </w:rPr>
              <w:t>10. Wykaz niezgodności umożliwia niezwłoczne wyszukanie, odczytanie oraz wydrukowanie całości albo części zapisanych danych.</w:t>
            </w:r>
          </w:p>
          <w:p w14:paraId="10F1BD13" w14:textId="53B401BF"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1</w:t>
            </w:r>
            <w:r w:rsidRPr="001C7DBF">
              <w:rPr>
                <w:rFonts w:cstheme="minorHAnsi"/>
                <w:b/>
                <w:i/>
              </w:rPr>
              <w:t>. W wykazie niezgodności umieszcza się następujące dane:</w:t>
            </w:r>
          </w:p>
          <w:p w14:paraId="24EF2F03" w14:textId="77777777" w:rsidR="0059404D" w:rsidRPr="001C7DBF" w:rsidRDefault="0059404D" w:rsidP="0042202B">
            <w:pPr>
              <w:shd w:val="clear" w:color="auto" w:fill="FFFFFF"/>
              <w:ind w:left="510" w:hanging="510"/>
              <w:rPr>
                <w:rFonts w:cstheme="minorHAnsi"/>
                <w:b/>
                <w:i/>
              </w:rPr>
            </w:pPr>
            <w:r w:rsidRPr="001C7DBF">
              <w:rPr>
                <w:rFonts w:cstheme="minorHAnsi"/>
                <w:b/>
                <w:i/>
              </w:rPr>
              <w:t>1)</w:t>
            </w:r>
            <w:r w:rsidRPr="001C7DBF">
              <w:rPr>
                <w:rFonts w:cstheme="minorHAnsi"/>
                <w:b/>
                <w:i/>
              </w:rPr>
              <w:tab/>
              <w:t>datę wpisu do wykazu niezgodności;</w:t>
            </w:r>
          </w:p>
          <w:p w14:paraId="06EB46E8" w14:textId="77777777" w:rsidR="0059404D" w:rsidRPr="001C7DBF" w:rsidRDefault="0059404D" w:rsidP="0042202B">
            <w:pPr>
              <w:shd w:val="clear" w:color="auto" w:fill="FFFFFF"/>
              <w:ind w:left="510" w:hanging="510"/>
              <w:rPr>
                <w:rFonts w:cstheme="minorHAnsi"/>
                <w:b/>
                <w:i/>
              </w:rPr>
            </w:pPr>
            <w:r w:rsidRPr="001C7DBF">
              <w:rPr>
                <w:rFonts w:cstheme="minorHAnsi"/>
                <w:b/>
                <w:i/>
              </w:rPr>
              <w:t>2)</w:t>
            </w:r>
            <w:r w:rsidRPr="001C7DBF">
              <w:rPr>
                <w:rFonts w:cstheme="minorHAnsi"/>
                <w:b/>
                <w:i/>
              </w:rPr>
              <w:tab/>
              <w:t>numer identyfikacyjny wpisu;</w:t>
            </w:r>
          </w:p>
          <w:p w14:paraId="0B0BEA55" w14:textId="77777777" w:rsidR="0059404D" w:rsidRPr="001C7DBF" w:rsidRDefault="0059404D" w:rsidP="0042202B">
            <w:pPr>
              <w:shd w:val="clear" w:color="auto" w:fill="FFFFFF"/>
              <w:ind w:left="510" w:hanging="510"/>
              <w:rPr>
                <w:rFonts w:cstheme="minorHAnsi"/>
                <w:b/>
                <w:i/>
              </w:rPr>
            </w:pPr>
            <w:r w:rsidRPr="001C7DBF">
              <w:rPr>
                <w:rFonts w:cstheme="minorHAnsi"/>
                <w:b/>
                <w:i/>
              </w:rPr>
              <w:lastRenderedPageBreak/>
              <w:t>3)</w:t>
            </w:r>
            <w:r w:rsidRPr="001C7DBF">
              <w:rPr>
                <w:rFonts w:cstheme="minorHAnsi"/>
                <w:b/>
                <w:i/>
              </w:rPr>
              <w:tab/>
              <w:t>oznaczenie decyzji, o której mowa w ust. 11;</w:t>
            </w:r>
          </w:p>
          <w:p w14:paraId="63296D42" w14:textId="77777777" w:rsidR="0059404D" w:rsidRPr="001C7DBF" w:rsidRDefault="0059404D" w:rsidP="0042202B">
            <w:pPr>
              <w:shd w:val="clear" w:color="auto" w:fill="FFFFFF"/>
              <w:ind w:left="510" w:hanging="510"/>
              <w:rPr>
                <w:rFonts w:cstheme="minorHAnsi"/>
                <w:b/>
                <w:i/>
              </w:rPr>
            </w:pPr>
            <w:r w:rsidRPr="001C7DBF">
              <w:rPr>
                <w:rFonts w:cstheme="minorHAnsi"/>
                <w:b/>
                <w:i/>
              </w:rPr>
              <w:t>4)</w:t>
            </w:r>
            <w:r w:rsidRPr="001C7DBF">
              <w:rPr>
                <w:rFonts w:cstheme="minorHAnsi"/>
                <w:b/>
                <w:i/>
              </w:rPr>
              <w:tab/>
              <w:t>nazwę pojazdu, przedmiotu wyposażenia lub części;</w:t>
            </w:r>
          </w:p>
          <w:p w14:paraId="47516786" w14:textId="77777777" w:rsidR="0059404D" w:rsidRPr="001C7DBF" w:rsidRDefault="0059404D" w:rsidP="0042202B">
            <w:pPr>
              <w:shd w:val="clear" w:color="auto" w:fill="FFFFFF"/>
              <w:ind w:left="510" w:hanging="510"/>
              <w:rPr>
                <w:rFonts w:cstheme="minorHAnsi"/>
                <w:b/>
                <w:i/>
              </w:rPr>
            </w:pPr>
            <w:r w:rsidRPr="001C7DBF">
              <w:rPr>
                <w:rFonts w:cstheme="minorHAnsi"/>
                <w:b/>
                <w:i/>
              </w:rPr>
              <w:t>5)</w:t>
            </w:r>
            <w:r w:rsidRPr="001C7DBF">
              <w:rPr>
                <w:rFonts w:cstheme="minorHAnsi"/>
                <w:b/>
                <w:i/>
              </w:rPr>
              <w:tab/>
              <w:t>markę, model, typ pojazdu, przedmiotu wyposażenia lub części;</w:t>
            </w:r>
          </w:p>
          <w:p w14:paraId="18FD64C3" w14:textId="77777777" w:rsidR="0059404D" w:rsidRPr="001C7DBF" w:rsidRDefault="0059404D" w:rsidP="0042202B">
            <w:pPr>
              <w:shd w:val="clear" w:color="auto" w:fill="FFFFFF"/>
              <w:ind w:left="510" w:hanging="510"/>
              <w:rPr>
                <w:rFonts w:cstheme="minorHAnsi"/>
                <w:b/>
                <w:i/>
              </w:rPr>
            </w:pPr>
            <w:r w:rsidRPr="001C7DBF">
              <w:rPr>
                <w:rFonts w:cstheme="minorHAnsi"/>
                <w:b/>
                <w:i/>
              </w:rPr>
              <w:t>6)</w:t>
            </w:r>
            <w:r w:rsidRPr="001C7DBF">
              <w:rPr>
                <w:rFonts w:cstheme="minorHAnsi"/>
                <w:b/>
                <w:i/>
              </w:rPr>
              <w:tab/>
              <w:t>Europejski Kod Towarowy (kod EAN) wyrobu, jeżeli kod taki w przypadku danego pojazdu, przedmiotu wyposażenia lub części występuje;</w:t>
            </w:r>
          </w:p>
          <w:p w14:paraId="4C0F4197" w14:textId="77777777" w:rsidR="0059404D" w:rsidRPr="001C7DBF" w:rsidRDefault="0059404D" w:rsidP="0042202B">
            <w:pPr>
              <w:shd w:val="clear" w:color="auto" w:fill="FFFFFF"/>
              <w:ind w:left="510" w:hanging="510"/>
              <w:rPr>
                <w:rFonts w:cstheme="minorHAnsi"/>
                <w:b/>
                <w:i/>
              </w:rPr>
            </w:pPr>
            <w:r w:rsidRPr="001C7DBF">
              <w:rPr>
                <w:rFonts w:cstheme="minorHAnsi"/>
                <w:b/>
                <w:i/>
              </w:rPr>
              <w:t>7)</w:t>
            </w:r>
            <w:r w:rsidRPr="001C7DBF">
              <w:rPr>
                <w:rFonts w:cstheme="minorHAnsi"/>
                <w:b/>
                <w:i/>
              </w:rPr>
              <w:tab/>
              <w:t>VIN pojazdu lub numer fabryczny przedmiotu wyposażenia lub części;</w:t>
            </w:r>
          </w:p>
          <w:p w14:paraId="005412E7" w14:textId="5A82C91F" w:rsidR="0059404D" w:rsidRPr="001C7DBF" w:rsidRDefault="0059404D" w:rsidP="0042202B">
            <w:pPr>
              <w:shd w:val="clear" w:color="auto" w:fill="FFFFFF"/>
              <w:ind w:left="510" w:hanging="510"/>
              <w:rPr>
                <w:rFonts w:cstheme="minorHAnsi"/>
                <w:b/>
                <w:i/>
              </w:rPr>
            </w:pPr>
            <w:r w:rsidRPr="001C7DBF">
              <w:rPr>
                <w:rFonts w:cstheme="minorHAnsi"/>
                <w:b/>
                <w:i/>
              </w:rPr>
              <w:t>8)</w:t>
            </w:r>
            <w:r w:rsidRPr="001C7DBF">
              <w:rPr>
                <w:rFonts w:cstheme="minorHAnsi"/>
                <w:b/>
                <w:i/>
              </w:rPr>
              <w:tab/>
              <w:t xml:space="preserve">nazwę kraju </w:t>
            </w:r>
            <w:r>
              <w:rPr>
                <w:rFonts w:cstheme="minorHAnsi"/>
                <w:b/>
                <w:i/>
              </w:rPr>
              <w:t>wyprodukowania</w:t>
            </w:r>
            <w:r w:rsidRPr="001C7DBF">
              <w:rPr>
                <w:rFonts w:cstheme="minorHAnsi"/>
                <w:b/>
                <w:i/>
              </w:rPr>
              <w:t xml:space="preserve"> pojazdu, przedmiotu wyposażenia lub części;</w:t>
            </w:r>
          </w:p>
          <w:p w14:paraId="3465E19D" w14:textId="3D168456" w:rsidR="0059404D" w:rsidRPr="001C7DBF" w:rsidRDefault="0059404D" w:rsidP="0042202B">
            <w:pPr>
              <w:shd w:val="clear" w:color="auto" w:fill="FFFFFF"/>
              <w:ind w:left="510" w:hanging="510"/>
              <w:rPr>
                <w:rFonts w:cstheme="minorHAnsi"/>
                <w:b/>
                <w:i/>
              </w:rPr>
            </w:pPr>
            <w:r w:rsidRPr="001C7DBF">
              <w:rPr>
                <w:rFonts w:cstheme="minorHAnsi"/>
                <w:b/>
                <w:i/>
              </w:rPr>
              <w:t>9)</w:t>
            </w:r>
            <w:r w:rsidRPr="001C7DBF">
              <w:rPr>
                <w:rFonts w:cstheme="minorHAnsi"/>
                <w:b/>
                <w:i/>
              </w:rPr>
              <w:tab/>
              <w:t xml:space="preserve">firmę lub nazwę oraz adres podmiotu gospodarczego, który wprowadził do obrotu lub oddał do użytku pojazd, przedmiot wyposażenia lub część albo udostępnił go na terytorium Rzeczypospolitej Polskiej, </w:t>
            </w:r>
            <w:r>
              <w:rPr>
                <w:rFonts w:cstheme="minorHAnsi"/>
                <w:b/>
                <w:i/>
              </w:rPr>
              <w:t>wraz ze wskazaniem</w:t>
            </w:r>
            <w:r w:rsidRPr="001C7DBF">
              <w:rPr>
                <w:rFonts w:cstheme="minorHAnsi"/>
                <w:b/>
                <w:i/>
              </w:rPr>
              <w:t>, czy działał on jako producent, upoważniony przedstawiciel, importer czy dystrybutor;</w:t>
            </w:r>
          </w:p>
          <w:p w14:paraId="438D18A1" w14:textId="77777777" w:rsidR="0059404D" w:rsidRPr="001C7DBF" w:rsidRDefault="0059404D" w:rsidP="0042202B">
            <w:pPr>
              <w:shd w:val="clear" w:color="auto" w:fill="FFFFFF"/>
              <w:ind w:left="510" w:hanging="510"/>
              <w:rPr>
                <w:rFonts w:cstheme="minorHAnsi"/>
                <w:b/>
                <w:i/>
              </w:rPr>
            </w:pPr>
            <w:r w:rsidRPr="001C7DBF">
              <w:rPr>
                <w:rFonts w:cstheme="minorHAnsi"/>
                <w:b/>
                <w:i/>
              </w:rPr>
              <w:lastRenderedPageBreak/>
              <w:t>10)</w:t>
            </w:r>
            <w:r w:rsidRPr="001C7DBF">
              <w:rPr>
                <w:rFonts w:cstheme="minorHAnsi"/>
                <w:b/>
                <w:i/>
              </w:rPr>
              <w:tab/>
              <w:t>opis stwierdzonych niezgodności z wymaganiami technicznymi lub stwarzanego poważnego ryzyka przez pojazd, przedmiot wyposażenia lub część;</w:t>
            </w:r>
          </w:p>
          <w:p w14:paraId="16F6C37D" w14:textId="77777777" w:rsidR="0059404D" w:rsidRPr="001C7DBF" w:rsidRDefault="0059404D" w:rsidP="0042202B">
            <w:pPr>
              <w:shd w:val="clear" w:color="auto" w:fill="FFFFFF"/>
              <w:ind w:left="510" w:hanging="510"/>
              <w:rPr>
                <w:rFonts w:cstheme="minorHAnsi"/>
                <w:b/>
                <w:i/>
              </w:rPr>
            </w:pPr>
            <w:r w:rsidRPr="001C7DBF">
              <w:rPr>
                <w:rFonts w:cstheme="minorHAnsi"/>
                <w:b/>
                <w:i/>
              </w:rPr>
              <w:t>11)</w:t>
            </w:r>
            <w:r w:rsidRPr="001C7DBF">
              <w:rPr>
                <w:rFonts w:cstheme="minorHAnsi"/>
                <w:b/>
                <w:i/>
              </w:rPr>
              <w:tab/>
              <w:t>określenie zagrożeń, jakie może spowodować pojazd, przedmiot wyposażenia lub część;</w:t>
            </w:r>
          </w:p>
          <w:p w14:paraId="13B65493" w14:textId="59207AA5" w:rsidR="0059404D" w:rsidRPr="001C7DBF" w:rsidRDefault="0059404D" w:rsidP="0042202B">
            <w:pPr>
              <w:shd w:val="clear" w:color="auto" w:fill="FFFFFF"/>
              <w:ind w:left="510" w:hanging="510"/>
              <w:rPr>
                <w:rFonts w:cstheme="minorHAnsi"/>
                <w:b/>
                <w:i/>
              </w:rPr>
            </w:pPr>
            <w:r w:rsidRPr="001C7DBF">
              <w:rPr>
                <w:rFonts w:cstheme="minorHAnsi"/>
                <w:b/>
                <w:i/>
              </w:rPr>
              <w:t>12)</w:t>
            </w:r>
            <w:r w:rsidRPr="001C7DBF">
              <w:rPr>
                <w:rFonts w:cstheme="minorHAnsi"/>
                <w:b/>
                <w:i/>
              </w:rPr>
              <w:tab/>
              <w:t>określenie środków, jakie Dyrektor TDT jako organ nadzoru rynku zastosował w odniesieniu do pojazdu, przedmiotu wyposażenia lub części niezgodnego z  wymaganiami technicznymi lub stwarzanym poważnym ryzykiem;</w:t>
            </w:r>
          </w:p>
          <w:p w14:paraId="54D74DCA" w14:textId="77777777" w:rsidR="0059404D" w:rsidRPr="001C7DBF" w:rsidRDefault="0059404D" w:rsidP="0042202B">
            <w:pPr>
              <w:shd w:val="clear" w:color="auto" w:fill="FFFFFF"/>
              <w:ind w:left="510" w:hanging="510"/>
              <w:rPr>
                <w:rFonts w:cstheme="minorHAnsi"/>
                <w:b/>
                <w:i/>
              </w:rPr>
            </w:pPr>
            <w:r w:rsidRPr="001C7DBF">
              <w:rPr>
                <w:rFonts w:cstheme="minorHAnsi"/>
                <w:b/>
                <w:i/>
              </w:rPr>
              <w:t>13)</w:t>
            </w:r>
            <w:r w:rsidRPr="001C7DBF">
              <w:rPr>
                <w:rFonts w:cstheme="minorHAnsi"/>
                <w:b/>
                <w:i/>
              </w:rPr>
              <w:tab/>
              <w:t>inne informacje wynikające z decyzji, o której mowa w ust. 11, których umieszczenie w rejestrze może mieć wpływ na zapewnienie bezpieczeństwa użytkownikom końcowym.</w:t>
            </w:r>
          </w:p>
          <w:p w14:paraId="62D015AC" w14:textId="5523C09F"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2</w:t>
            </w:r>
            <w:r w:rsidRPr="001C7DBF">
              <w:rPr>
                <w:rFonts w:cstheme="minorHAnsi"/>
                <w:b/>
                <w:i/>
              </w:rPr>
              <w:t>. W wykazie niezgodności mogą być umieszczane zdjęcia pojazdu, przedmiotu wyposażenia lub części, lub ich opakowania.</w:t>
            </w:r>
          </w:p>
          <w:p w14:paraId="63DC58C6" w14:textId="69EA7C9A"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3</w:t>
            </w:r>
            <w:r w:rsidRPr="001C7DBF">
              <w:rPr>
                <w:rFonts w:cstheme="minorHAnsi"/>
                <w:b/>
                <w:i/>
              </w:rPr>
              <w:t>. W wykazie akcji</w:t>
            </w:r>
            <w:r w:rsidRPr="001C7DBF" w:rsidDel="00F720AF">
              <w:rPr>
                <w:rFonts w:cstheme="minorHAnsi"/>
                <w:b/>
                <w:i/>
              </w:rPr>
              <w:t xml:space="preserve"> </w:t>
            </w:r>
            <w:r w:rsidRPr="001C7DBF">
              <w:rPr>
                <w:rFonts w:cstheme="minorHAnsi"/>
                <w:b/>
                <w:i/>
              </w:rPr>
              <w:t>są gromadzone:</w:t>
            </w:r>
          </w:p>
          <w:p w14:paraId="5564CB7C" w14:textId="65A7487B" w:rsidR="0059404D" w:rsidRPr="00B40406"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1)</w:t>
            </w:r>
            <w:r>
              <w:rPr>
                <w:rFonts w:asciiTheme="minorHAnsi" w:eastAsiaTheme="minorHAnsi" w:hAnsiTheme="minorHAnsi" w:cstheme="minorHAnsi"/>
                <w:b/>
                <w:i/>
                <w:sz w:val="22"/>
                <w:szCs w:val="22"/>
                <w:lang w:eastAsia="en-US"/>
              </w:rPr>
              <w:t xml:space="preserve"> </w:t>
            </w:r>
            <w:r w:rsidRPr="00B40406">
              <w:rPr>
                <w:rFonts w:asciiTheme="minorHAnsi" w:eastAsiaTheme="minorHAnsi" w:hAnsiTheme="minorHAnsi" w:cstheme="minorHAnsi"/>
                <w:b/>
                <w:i/>
                <w:sz w:val="22"/>
                <w:szCs w:val="22"/>
                <w:lang w:eastAsia="en-US"/>
              </w:rPr>
              <w:t>dane umożliwiające identyfikację pojazdu:</w:t>
            </w:r>
          </w:p>
          <w:p w14:paraId="16DF40C5"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lastRenderedPageBreak/>
              <w:t>markę, model, rok produkcji pojazdu;</w:t>
            </w:r>
          </w:p>
          <w:p w14:paraId="0DC48E8D"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datę wpisu do wykazu akcji;</w:t>
            </w:r>
          </w:p>
          <w:p w14:paraId="489D678D"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rodzaj niezgodności;</w:t>
            </w:r>
          </w:p>
          <w:p w14:paraId="599A6C21"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okres produkcji;</w:t>
            </w:r>
          </w:p>
          <w:p w14:paraId="14331B03"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numer referencyjny TDT oraz informację o statusie monitorowania w TDT;</w:t>
            </w:r>
          </w:p>
          <w:p w14:paraId="07A00095"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kod serwisowy producenta;</w:t>
            </w:r>
          </w:p>
          <w:p w14:paraId="20431A57"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krótki opis niezgodności;</w:t>
            </w:r>
          </w:p>
          <w:p w14:paraId="495636A6"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dodatkowe informacje dotyczące możliwych ograniczeń modeli objętych akcją serwisową, znanych incydentów, liczby potencjalnie objętych akcją serwisową pojazdów w Unii Europejskiej oraz w Polsce, a także numery VIN tych pojazdów;</w:t>
            </w:r>
          </w:p>
          <w:p w14:paraId="0B7B5D3E"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dane kontaktowe do producenta;</w:t>
            </w:r>
          </w:p>
          <w:p w14:paraId="16B4CC52" w14:textId="77777777" w:rsidR="0059404D" w:rsidRPr="00B40406" w:rsidRDefault="0059404D" w:rsidP="0042202B">
            <w:pPr>
              <w:pStyle w:val="ZARTzmartartykuempunktem"/>
              <w:numPr>
                <w:ilvl w:val="0"/>
                <w:numId w:val="21"/>
              </w:numPr>
              <w:spacing w:line="240" w:lineRule="auto"/>
              <w:ind w:left="738" w:hanging="283"/>
              <w:jc w:val="left"/>
              <w:rPr>
                <w:rFonts w:asciiTheme="minorHAnsi" w:eastAsiaTheme="minorHAnsi" w:hAnsiTheme="minorHAnsi" w:cstheme="minorHAnsi"/>
                <w:b/>
                <w:i/>
                <w:sz w:val="22"/>
                <w:szCs w:val="22"/>
                <w:lang w:eastAsia="en-US"/>
              </w:rPr>
            </w:pPr>
            <w:r w:rsidRPr="00B40406">
              <w:rPr>
                <w:rFonts w:asciiTheme="minorHAnsi" w:eastAsiaTheme="minorHAnsi" w:hAnsiTheme="minorHAnsi" w:cstheme="minorHAnsi"/>
                <w:b/>
                <w:i/>
                <w:sz w:val="22"/>
                <w:szCs w:val="22"/>
                <w:lang w:eastAsia="en-US"/>
              </w:rPr>
              <w:t>inne informacje, których umieszczenie w wykazie akcji może mieć wpływ na zapewnienie bezpieczeństwa użytkownikom końcowym;</w:t>
            </w:r>
          </w:p>
          <w:p w14:paraId="0A0295D3" w14:textId="77777777" w:rsidR="0059404D" w:rsidRPr="001C7DBF" w:rsidRDefault="0059404D" w:rsidP="0042202B">
            <w:pPr>
              <w:pStyle w:val="ZARTzmartartykuempunktem"/>
              <w:spacing w:line="240" w:lineRule="auto"/>
              <w:ind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2)</w:t>
            </w:r>
            <w:r w:rsidRPr="001C7DBF">
              <w:rPr>
                <w:rFonts w:asciiTheme="minorHAnsi" w:eastAsiaTheme="minorHAnsi" w:hAnsiTheme="minorHAnsi" w:cstheme="minorHAnsi"/>
                <w:b/>
                <w:i/>
                <w:sz w:val="22"/>
                <w:szCs w:val="22"/>
                <w:lang w:eastAsia="en-US"/>
              </w:rPr>
              <w:tab/>
              <w:t>informacje o:</w:t>
            </w:r>
          </w:p>
          <w:p w14:paraId="203A69B0" w14:textId="77777777" w:rsidR="0059404D" w:rsidRPr="001C7DBF" w:rsidRDefault="0059404D" w:rsidP="0042202B">
            <w:pPr>
              <w:pStyle w:val="ZARTzmartartykuempunktem"/>
              <w:spacing w:line="240" w:lineRule="auto"/>
              <w:ind w:left="987" w:hanging="476"/>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a)</w:t>
            </w:r>
            <w:r w:rsidRPr="001C7DBF">
              <w:rPr>
                <w:rFonts w:asciiTheme="minorHAnsi" w:eastAsiaTheme="minorHAnsi" w:hAnsiTheme="minorHAnsi" w:cstheme="minorHAnsi"/>
                <w:b/>
                <w:i/>
                <w:sz w:val="22"/>
                <w:szCs w:val="22"/>
                <w:lang w:eastAsia="en-US"/>
              </w:rPr>
              <w:tab/>
              <w:t xml:space="preserve">rodzaju i zakresie prowadzonej przez podmiot </w:t>
            </w:r>
            <w:r w:rsidRPr="001C7DBF">
              <w:rPr>
                <w:rFonts w:asciiTheme="minorHAnsi" w:eastAsiaTheme="minorHAnsi" w:hAnsiTheme="minorHAnsi" w:cstheme="minorHAnsi"/>
                <w:b/>
                <w:i/>
                <w:sz w:val="22"/>
                <w:szCs w:val="22"/>
                <w:lang w:eastAsia="en-US"/>
              </w:rPr>
              <w:lastRenderedPageBreak/>
              <w:t>gospodarczy akcji serwisowej,</w:t>
            </w:r>
          </w:p>
          <w:p w14:paraId="7BF55AF4" w14:textId="77777777" w:rsidR="0059404D" w:rsidRPr="001C7DBF" w:rsidRDefault="0059404D" w:rsidP="0042202B">
            <w:pPr>
              <w:pStyle w:val="ZARTzmartartykuempunktem"/>
              <w:spacing w:line="240" w:lineRule="auto"/>
              <w:ind w:left="987" w:hanging="476"/>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b)</w:t>
            </w:r>
            <w:r w:rsidRPr="001C7DBF">
              <w:rPr>
                <w:rFonts w:asciiTheme="minorHAnsi" w:eastAsiaTheme="minorHAnsi" w:hAnsiTheme="minorHAnsi" w:cstheme="minorHAnsi"/>
                <w:b/>
                <w:i/>
                <w:sz w:val="22"/>
                <w:szCs w:val="22"/>
                <w:lang w:eastAsia="en-US"/>
              </w:rPr>
              <w:tab/>
              <w:t>warunkach i ograniczeniach prowadzonej przez podmiot gospodarczy akcji serwisowej.</w:t>
            </w:r>
          </w:p>
          <w:p w14:paraId="0EAF3090" w14:textId="7C907796"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4</w:t>
            </w:r>
            <w:r w:rsidRPr="001C7DBF">
              <w:rPr>
                <w:rFonts w:cstheme="minorHAnsi"/>
                <w:b/>
                <w:i/>
              </w:rPr>
              <w:t>. Dyrektor TDT jako organ nadzoru rynku dokonuje wpis</w:t>
            </w:r>
            <w:r>
              <w:rPr>
                <w:rFonts w:cstheme="minorHAnsi"/>
                <w:b/>
                <w:i/>
              </w:rPr>
              <w:t>u</w:t>
            </w:r>
            <w:r w:rsidRPr="001C7DBF">
              <w:rPr>
                <w:rFonts w:cstheme="minorHAnsi"/>
                <w:b/>
                <w:i/>
              </w:rPr>
              <w:t xml:space="preserve"> do wykazu akcji</w:t>
            </w:r>
            <w:r w:rsidRPr="001C7DBF" w:rsidDel="00F720AF">
              <w:rPr>
                <w:rFonts w:cstheme="minorHAnsi"/>
                <w:b/>
                <w:i/>
              </w:rPr>
              <w:t xml:space="preserve"> </w:t>
            </w:r>
            <w:r w:rsidRPr="001C7DBF">
              <w:rPr>
                <w:rFonts w:cstheme="minorHAnsi"/>
                <w:b/>
                <w:i/>
              </w:rPr>
              <w:t>na podstawie:</w:t>
            </w:r>
          </w:p>
          <w:p w14:paraId="71E6C9C5" w14:textId="77777777" w:rsidR="0059404D" w:rsidRPr="001C7DBF" w:rsidRDefault="0059404D" w:rsidP="0042202B">
            <w:pPr>
              <w:pStyle w:val="ZARTzmartartykuempunktem"/>
              <w:numPr>
                <w:ilvl w:val="0"/>
                <w:numId w:val="11"/>
              </w:numPr>
              <w:suppressAutoHyphens w:val="0"/>
              <w:adjustRightInd/>
              <w:spacing w:line="240" w:lineRule="auto"/>
              <w:ind w:left="510"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własnych działań Dyrektora TDT jako organu nadzoru rynku, lub</w:t>
            </w:r>
          </w:p>
          <w:p w14:paraId="3DD77304" w14:textId="77777777" w:rsidR="0059404D" w:rsidRPr="001C7DBF" w:rsidRDefault="0059404D" w:rsidP="0042202B">
            <w:pPr>
              <w:pStyle w:val="ZARTzmartartykuempunktem"/>
              <w:numPr>
                <w:ilvl w:val="0"/>
                <w:numId w:val="11"/>
              </w:numPr>
              <w:suppressAutoHyphens w:val="0"/>
              <w:adjustRightInd/>
              <w:spacing w:line="240" w:lineRule="auto"/>
              <w:ind w:left="510"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informacji zamieszczonych w systemie RAPEX, lub</w:t>
            </w:r>
          </w:p>
          <w:p w14:paraId="0D644263" w14:textId="77777777" w:rsidR="0059404D" w:rsidRPr="001C7DBF" w:rsidRDefault="0059404D" w:rsidP="0042202B">
            <w:pPr>
              <w:pStyle w:val="ZARTzmartartykuempunktem"/>
              <w:numPr>
                <w:ilvl w:val="0"/>
                <w:numId w:val="11"/>
              </w:numPr>
              <w:shd w:val="clear" w:color="auto" w:fill="FFFFFF"/>
              <w:spacing w:line="240" w:lineRule="auto"/>
              <w:ind w:left="510"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informacji przekazanych przez organ udzielający homologacji, lub</w:t>
            </w:r>
          </w:p>
          <w:p w14:paraId="5A5392F3" w14:textId="77777777" w:rsidR="0059404D" w:rsidRPr="001C7DBF" w:rsidRDefault="0059404D" w:rsidP="0042202B">
            <w:pPr>
              <w:pStyle w:val="ZARTzmartartykuempunktem"/>
              <w:numPr>
                <w:ilvl w:val="0"/>
                <w:numId w:val="11"/>
              </w:numPr>
              <w:shd w:val="clear" w:color="auto" w:fill="FFFFFF"/>
              <w:spacing w:line="240" w:lineRule="auto"/>
              <w:ind w:left="510" w:hanging="51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informacji przekazanych przez podmiot gospodarczy.</w:t>
            </w:r>
          </w:p>
          <w:p w14:paraId="53395CF4" w14:textId="7A60B48B" w:rsidR="0059404D" w:rsidRPr="001C7DB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1C7DBF">
              <w:rPr>
                <w:rFonts w:asciiTheme="minorHAnsi" w:eastAsiaTheme="minorHAnsi" w:hAnsiTheme="minorHAnsi" w:cstheme="minorHAnsi"/>
                <w:b/>
                <w:i/>
                <w:sz w:val="22"/>
                <w:szCs w:val="22"/>
                <w:lang w:eastAsia="en-US"/>
              </w:rPr>
              <w:t>1</w:t>
            </w:r>
            <w:r>
              <w:rPr>
                <w:rFonts w:asciiTheme="minorHAnsi" w:eastAsiaTheme="minorHAnsi" w:hAnsiTheme="minorHAnsi" w:cstheme="minorHAnsi"/>
                <w:b/>
                <w:i/>
                <w:sz w:val="22"/>
                <w:szCs w:val="22"/>
                <w:lang w:eastAsia="en-US"/>
              </w:rPr>
              <w:t>5</w:t>
            </w:r>
            <w:r w:rsidRPr="001C7DBF">
              <w:rPr>
                <w:rFonts w:asciiTheme="minorHAnsi" w:eastAsiaTheme="minorHAnsi" w:hAnsiTheme="minorHAnsi" w:cstheme="minorHAnsi"/>
                <w:b/>
                <w:i/>
                <w:sz w:val="22"/>
                <w:szCs w:val="22"/>
                <w:lang w:eastAsia="en-US"/>
              </w:rPr>
              <w:t>. Dyrektor TDT jako organ nadzoru rynku może w każdym czasie podać do publicznej wiadomości informacje zawarte w wykazie akcji.</w:t>
            </w:r>
          </w:p>
          <w:p w14:paraId="5AAFCCF6" w14:textId="43929326"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6</w:t>
            </w:r>
            <w:r w:rsidRPr="001C7DBF">
              <w:rPr>
                <w:rFonts w:cstheme="minorHAnsi"/>
                <w:b/>
                <w:i/>
              </w:rPr>
              <w:t>. Wykaz akcji jest prowadzony z wykorzystaniem systemu teleinformatycznego.</w:t>
            </w:r>
          </w:p>
          <w:p w14:paraId="2556EEC8" w14:textId="24D561F5"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7</w:t>
            </w:r>
            <w:r w:rsidRPr="001C7DBF">
              <w:rPr>
                <w:rFonts w:cstheme="minorHAnsi"/>
                <w:b/>
                <w:i/>
              </w:rPr>
              <w:t>. Każdy wpis do wykazu akcji</w:t>
            </w:r>
            <w:r w:rsidRPr="001C7DBF" w:rsidDel="00F720AF">
              <w:rPr>
                <w:rFonts w:cstheme="minorHAnsi"/>
                <w:b/>
                <w:i/>
              </w:rPr>
              <w:t xml:space="preserve"> </w:t>
            </w:r>
            <w:r w:rsidRPr="001C7DBF">
              <w:rPr>
                <w:rFonts w:cstheme="minorHAnsi"/>
                <w:b/>
                <w:i/>
              </w:rPr>
              <w:t>dotyczy jednego pojazdu.</w:t>
            </w:r>
          </w:p>
          <w:p w14:paraId="13133A56" w14:textId="28C07FA5" w:rsidR="0059404D" w:rsidRPr="001C7DBF" w:rsidRDefault="0059404D" w:rsidP="0042202B">
            <w:pPr>
              <w:shd w:val="clear" w:color="auto" w:fill="FFFFFF"/>
              <w:rPr>
                <w:rFonts w:cstheme="minorHAnsi"/>
                <w:b/>
                <w:i/>
              </w:rPr>
            </w:pPr>
            <w:r w:rsidRPr="001C7DBF">
              <w:rPr>
                <w:rFonts w:cstheme="minorHAnsi"/>
                <w:b/>
                <w:i/>
              </w:rPr>
              <w:t>1</w:t>
            </w:r>
            <w:r>
              <w:rPr>
                <w:rFonts w:cstheme="minorHAnsi"/>
                <w:b/>
                <w:i/>
              </w:rPr>
              <w:t>8</w:t>
            </w:r>
            <w:r w:rsidRPr="001C7DBF">
              <w:rPr>
                <w:rFonts w:cstheme="minorHAnsi"/>
                <w:b/>
                <w:i/>
              </w:rPr>
              <w:t xml:space="preserve">. Wykaz akcji umożliwia niezwłoczne wyszukanie, odczytanie oraz </w:t>
            </w:r>
            <w:r w:rsidRPr="001C7DBF">
              <w:rPr>
                <w:rFonts w:cstheme="minorHAnsi"/>
                <w:b/>
                <w:i/>
              </w:rPr>
              <w:lastRenderedPageBreak/>
              <w:t>wydrukowanie całości albo części zapisanych danych.</w:t>
            </w:r>
          </w:p>
          <w:p w14:paraId="63B1BA40" w14:textId="53AECFE9" w:rsidR="0059404D" w:rsidRPr="001C7DBF" w:rsidRDefault="0059404D" w:rsidP="0042202B">
            <w:pPr>
              <w:shd w:val="clear" w:color="auto" w:fill="FFFFFF"/>
              <w:rPr>
                <w:rFonts w:cstheme="minorHAnsi"/>
                <w:b/>
                <w:i/>
              </w:rPr>
            </w:pPr>
            <w:r>
              <w:rPr>
                <w:rFonts w:cstheme="minorHAnsi"/>
                <w:b/>
                <w:i/>
              </w:rPr>
              <w:t>19</w:t>
            </w:r>
            <w:r w:rsidRPr="001C7DBF">
              <w:rPr>
                <w:rFonts w:cstheme="minorHAnsi"/>
                <w:b/>
                <w:i/>
              </w:rPr>
              <w:t>. Dyrektor TDT jako organ nadzoru rynku dokonuje wpisu akcji serwisowej do wykazu akcji niezwłocznie po dniu, w którym powziął o niej informacje.</w:t>
            </w:r>
            <w:r>
              <w:rPr>
                <w:rFonts w:cstheme="minorHAnsi"/>
                <w:b/>
                <w:i/>
              </w:rPr>
              <w:t>”</w:t>
            </w:r>
          </w:p>
          <w:p w14:paraId="7FDA6723" w14:textId="77777777" w:rsidR="0059404D" w:rsidRDefault="0059404D" w:rsidP="0042202B">
            <w:pPr>
              <w:rPr>
                <w:rFonts w:cstheme="minorHAnsi"/>
                <w:b/>
                <w:i/>
              </w:rPr>
            </w:pPr>
            <w:r w:rsidRPr="001C7DBF">
              <w:rPr>
                <w:rFonts w:cstheme="minorHAnsi"/>
                <w:b/>
              </w:rPr>
              <w:t>4) uwaga nieuwzględniona – w uzasadnieniu przedstawiono wyjaśnienie dla fakultatywności kontroli:</w:t>
            </w:r>
            <w:r w:rsidRPr="001C7DBF">
              <w:rPr>
                <w:rFonts w:cstheme="minorHAnsi"/>
                <w:b/>
                <w:i/>
              </w:rPr>
              <w:t xml:space="preserve"> </w:t>
            </w:r>
          </w:p>
          <w:p w14:paraId="1BE74FFA" w14:textId="62D958CE" w:rsidR="0059404D" w:rsidRDefault="0059404D" w:rsidP="0042202B">
            <w:pPr>
              <w:rPr>
                <w:rFonts w:cstheme="minorHAnsi"/>
                <w:b/>
                <w:i/>
              </w:rPr>
            </w:pPr>
            <w:r w:rsidRPr="001C7DBF">
              <w:rPr>
                <w:b/>
                <w:i/>
              </w:rPr>
              <w:t>Za fakultatywnością przeprowadzenia kontroli wykonania decyzji określonej w art. 53b ust. 1 i 3 przemawia fakt, iż nie każda decyzja wymaga przeprowadzenia takiej kontroli. W wielu przypadkach gdy podmiot gospodarczy współpracuje z Dyrektorem TDT działającym jako organ nadzoru rynku taka kontrola nie jest konieczna. Przykładem może być nałożenie obowiązku doprowadzenia pojazdu, przedmiotu wyposażenia lub części do zgodności</w:t>
            </w:r>
            <w:r>
              <w:rPr>
                <w:b/>
                <w:i/>
              </w:rPr>
              <w:t xml:space="preserve"> z wymaganiami technicznymi</w:t>
            </w:r>
            <w:r w:rsidRPr="001C7DBF">
              <w:rPr>
                <w:b/>
                <w:i/>
              </w:rPr>
              <w:t xml:space="preserve">, co skutkuje koniecznością rozpoczęcia akcji serwisowych, które opisane zostały w art. 70 UH. Nie ma konieczności przeprowadzenia kontroli wykonania decyzji, gdy podmiot gospodarczy w </w:t>
            </w:r>
            <w:r w:rsidRPr="001C7DBF">
              <w:rPr>
                <w:b/>
                <w:i/>
              </w:rPr>
              <w:lastRenderedPageBreak/>
              <w:t>pełni współpracuje z Dyrektorem TDT w ramach akcji serwisowej i przekazuje mu wszelkie niezbędne informacje i dokumenty</w:t>
            </w:r>
            <w:r>
              <w:rPr>
                <w:rFonts w:cstheme="minorHAnsi"/>
                <w:b/>
                <w:i/>
              </w:rPr>
              <w:t>.</w:t>
            </w:r>
            <w:r w:rsidRPr="001C7DBF">
              <w:rPr>
                <w:rFonts w:cstheme="minorHAnsi"/>
                <w:b/>
                <w:i/>
              </w:rPr>
              <w:t xml:space="preserve"> </w:t>
            </w:r>
          </w:p>
          <w:p w14:paraId="0EC4A590" w14:textId="77777777" w:rsidR="0059404D" w:rsidRDefault="0059404D" w:rsidP="0042202B">
            <w:pPr>
              <w:rPr>
                <w:rFonts w:cstheme="minorHAnsi"/>
                <w:b/>
              </w:rPr>
            </w:pPr>
          </w:p>
          <w:p w14:paraId="78F2C872" w14:textId="13F3E5D4" w:rsidR="0059404D" w:rsidRPr="001C7DBF" w:rsidRDefault="0059404D" w:rsidP="0042202B">
            <w:pPr>
              <w:rPr>
                <w:rFonts w:cstheme="minorHAnsi"/>
                <w:b/>
              </w:rPr>
            </w:pPr>
            <w:r w:rsidRPr="001C7DBF">
              <w:rPr>
                <w:rFonts w:cstheme="minorHAnsi"/>
                <w:b/>
              </w:rPr>
              <w:t>5)  uwaga uwzględniona – doprecyzowano</w:t>
            </w:r>
            <w:r w:rsidRPr="001C7DBF">
              <w:rPr>
                <w:rFonts w:cstheme="minorHAnsi"/>
                <w:b/>
                <w:i/>
              </w:rPr>
              <w:t xml:space="preserve"> </w:t>
            </w:r>
            <w:r w:rsidRPr="001C7DBF">
              <w:rPr>
                <w:rFonts w:cstheme="minorHAnsi"/>
                <w:b/>
              </w:rPr>
              <w:t xml:space="preserve">projekt w art. 68za w zakresie opisania trybu postępowania w ramach zniszczenia pojazdu – poprawiono zakres delegacji do wydania rozporządzenia w zakresie tej procedury, doprecyzowano sytuacje, w których przypadkach chodzi o decyzję administracyjną. </w:t>
            </w:r>
          </w:p>
          <w:p w14:paraId="20ECAA8D" w14:textId="54AC7E08" w:rsidR="0059404D" w:rsidRPr="001C7DBF"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rPr>
            </w:pPr>
            <w:r w:rsidRPr="001C7DBF">
              <w:rPr>
                <w:rFonts w:asciiTheme="minorHAnsi" w:eastAsiaTheme="minorHAnsi" w:hAnsiTheme="minorHAnsi" w:cstheme="minorHAnsi"/>
                <w:b/>
                <w:i/>
                <w:sz w:val="22"/>
                <w:szCs w:val="22"/>
              </w:rPr>
              <w:t xml:space="preserve">„Art. 68za. 1. W przypadku gdy przeprowadzone badania wykazały niezgodność z wymaganiami lub stwarzanie przez pojazd, przedmiot wyposażenia lub część poważnego ryzyka, wiążące się z koniecznością ich zniszczenia, Dyrektor TDT wydaje decyzję, o której mowa w art. 53b ust. 2 pkt 3, w której do dokonania zniszczenia </w:t>
            </w:r>
            <w:r>
              <w:rPr>
                <w:rFonts w:asciiTheme="minorHAnsi" w:eastAsiaTheme="minorHAnsi" w:hAnsiTheme="minorHAnsi" w:cstheme="minorHAnsi"/>
                <w:b/>
                <w:i/>
                <w:sz w:val="22"/>
                <w:szCs w:val="22"/>
              </w:rPr>
              <w:t xml:space="preserve">zobowiązuje </w:t>
            </w:r>
            <w:r w:rsidRPr="001C7DBF">
              <w:rPr>
                <w:rFonts w:asciiTheme="minorHAnsi" w:eastAsiaTheme="minorHAnsi" w:hAnsiTheme="minorHAnsi" w:cstheme="minorHAnsi"/>
                <w:b/>
                <w:i/>
                <w:sz w:val="22"/>
                <w:szCs w:val="22"/>
              </w:rPr>
              <w:t xml:space="preserve">podmiot gospodarczy, który wprowadził do obrotu lub udostępnił na rynku taki pojazd, przedmiot wyposażenia lub część, a w przypadku braku możliwości ustalenia tego podmiotu − </w:t>
            </w:r>
            <w:r w:rsidRPr="001C7DBF">
              <w:rPr>
                <w:rFonts w:asciiTheme="minorHAnsi" w:eastAsiaTheme="minorHAnsi" w:hAnsiTheme="minorHAnsi" w:cstheme="minorHAnsi"/>
                <w:b/>
                <w:i/>
                <w:sz w:val="22"/>
                <w:szCs w:val="22"/>
              </w:rPr>
              <w:lastRenderedPageBreak/>
              <w:t>dystrybutor</w:t>
            </w:r>
            <w:r>
              <w:rPr>
                <w:rFonts w:asciiTheme="minorHAnsi" w:eastAsiaTheme="minorHAnsi" w:hAnsiTheme="minorHAnsi" w:cstheme="minorHAnsi"/>
                <w:b/>
                <w:i/>
                <w:sz w:val="22"/>
                <w:szCs w:val="22"/>
              </w:rPr>
              <w:t>a</w:t>
            </w:r>
            <w:r w:rsidRPr="001C7DBF">
              <w:rPr>
                <w:rFonts w:asciiTheme="minorHAnsi" w:eastAsiaTheme="minorHAnsi" w:hAnsiTheme="minorHAnsi" w:cstheme="minorHAnsi"/>
                <w:b/>
                <w:i/>
                <w:sz w:val="22"/>
                <w:szCs w:val="22"/>
              </w:rPr>
              <w:t>, mając</w:t>
            </w:r>
            <w:r>
              <w:rPr>
                <w:rFonts w:asciiTheme="minorHAnsi" w:eastAsiaTheme="minorHAnsi" w:hAnsiTheme="minorHAnsi" w:cstheme="minorHAnsi"/>
                <w:b/>
                <w:i/>
                <w:sz w:val="22"/>
                <w:szCs w:val="22"/>
              </w:rPr>
              <w:t>ego</w:t>
            </w:r>
            <w:r w:rsidRPr="001C7DBF">
              <w:rPr>
                <w:rFonts w:asciiTheme="minorHAnsi" w:eastAsiaTheme="minorHAnsi" w:hAnsiTheme="minorHAnsi" w:cstheme="minorHAnsi"/>
                <w:b/>
                <w:i/>
                <w:sz w:val="22"/>
                <w:szCs w:val="22"/>
              </w:rPr>
              <w:t xml:space="preserve"> miejsce zamieszkania lub siedzibę na terytorium Rzeczypospolitej Polskiej, który po raz pierwszy na tym terytorium udostępnił ten pojazd, przedmiot wyposażenia lub część.</w:t>
            </w:r>
          </w:p>
          <w:p w14:paraId="3257A204" w14:textId="786BD6DD"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2. Zniszczenie pojazdu, przedmiotu wyposażenia lub części, o którym mowa w ust. 1, przeprowadzane jest w zakładzie posiadającym:</w:t>
            </w:r>
          </w:p>
          <w:p w14:paraId="66EF2F2B" w14:textId="77777777" w:rsidR="0059404D" w:rsidRPr="001C7DBF" w:rsidRDefault="0059404D" w:rsidP="0042202B">
            <w:pPr>
              <w:pStyle w:val="ZUSTzmustartykuempunktem"/>
              <w:numPr>
                <w:ilvl w:val="0"/>
                <w:numId w:val="12"/>
              </w:numPr>
              <w:spacing w:line="240" w:lineRule="auto"/>
              <w:ind w:left="870"/>
              <w:jc w:val="left"/>
              <w:rPr>
                <w:rFonts w:asciiTheme="minorHAnsi" w:hAnsiTheme="minorHAnsi" w:cstheme="minorHAnsi"/>
                <w:b/>
                <w:i/>
                <w:sz w:val="22"/>
                <w:szCs w:val="22"/>
              </w:rPr>
            </w:pPr>
            <w:r w:rsidRPr="001C7DBF">
              <w:rPr>
                <w:rFonts w:asciiTheme="minorHAnsi" w:hAnsiTheme="minorHAnsi" w:cstheme="minorHAnsi"/>
                <w:b/>
                <w:i/>
                <w:sz w:val="22"/>
                <w:szCs w:val="22"/>
              </w:rPr>
              <w:t>zezwolenie na prowadzenie stacji demontażu pojazdów, o którym mowa w ustawie z dnia 20 stycznia 2005 r. o recyklingu pojazdów wycofanych z eksploatacji (Dz.U. z 2020 r., poz. 2056), lub</w:t>
            </w:r>
          </w:p>
          <w:p w14:paraId="00F17BE9" w14:textId="1DBB69D0" w:rsidR="0059404D" w:rsidRPr="001C7DBF" w:rsidRDefault="0059404D" w:rsidP="0042202B">
            <w:pPr>
              <w:pStyle w:val="ZUSTzmustartykuempunktem"/>
              <w:numPr>
                <w:ilvl w:val="0"/>
                <w:numId w:val="12"/>
              </w:numPr>
              <w:spacing w:line="240" w:lineRule="auto"/>
              <w:ind w:left="870"/>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inne uprawnienie </w:t>
            </w:r>
            <w:r>
              <w:rPr>
                <w:rFonts w:asciiTheme="minorHAnsi" w:hAnsiTheme="minorHAnsi" w:cstheme="minorHAnsi"/>
                <w:b/>
                <w:i/>
                <w:sz w:val="22"/>
                <w:szCs w:val="22"/>
              </w:rPr>
              <w:t xml:space="preserve">wydane przez </w:t>
            </w:r>
            <w:r w:rsidRPr="001C7DBF">
              <w:rPr>
                <w:rFonts w:asciiTheme="minorHAnsi" w:hAnsiTheme="minorHAnsi" w:cstheme="minorHAnsi"/>
                <w:b/>
                <w:i/>
                <w:sz w:val="22"/>
                <w:szCs w:val="22"/>
              </w:rPr>
              <w:t xml:space="preserve">organu </w:t>
            </w:r>
            <w:r>
              <w:rPr>
                <w:rFonts w:asciiTheme="minorHAnsi" w:hAnsiTheme="minorHAnsi" w:cstheme="minorHAnsi"/>
                <w:b/>
                <w:i/>
                <w:sz w:val="22"/>
                <w:szCs w:val="22"/>
              </w:rPr>
              <w:t xml:space="preserve">właściwy </w:t>
            </w:r>
            <w:r w:rsidRPr="001C7DBF">
              <w:rPr>
                <w:rFonts w:asciiTheme="minorHAnsi" w:hAnsiTheme="minorHAnsi" w:cstheme="minorHAnsi"/>
                <w:b/>
                <w:i/>
                <w:sz w:val="22"/>
                <w:szCs w:val="22"/>
              </w:rPr>
              <w:t>w zakresie gospodarowania odpadami niebezpiecznymi.</w:t>
            </w:r>
          </w:p>
          <w:p w14:paraId="4B2B53B7"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3. Zakład, o którym mowa w ust. 2, obowiązany jest stosować technologie zapewniające nieodwracalność zniszczenia pojazdu, przedmiotu wyposażenia lub części oraz wyeliminowanie ich ponownego wprowadzenia do obrotu.</w:t>
            </w:r>
          </w:p>
          <w:p w14:paraId="5837648E"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lastRenderedPageBreak/>
              <w:t>4. Zniszczenie pojazdu, przedmiotu wyposażenia lub części odbywa się z zachowaniem przepisów dotyczących ochrony środowiska, w szczególności w zakresie postępowania z odpadami niebezpiecznymi oraz przepisów bezpieczeństwa i higieny pracy.</w:t>
            </w:r>
          </w:p>
          <w:p w14:paraId="60196F0E" w14:textId="39D71B91"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5. Zniszczenia pojazdu, przedmiotu wyposażenia lub części dokonuje podmiot gospodarczy, na którym ciąży obowiązek wykonania decyzji o zniszczeniu, o której mowa w ust, 1, pod nadzorem Dyrektora TDT jako organu nadzoru rynku, z zastrzeżeniem ust. 6.</w:t>
            </w:r>
          </w:p>
          <w:p w14:paraId="4AC65343"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6. Dyrektor TDT jako organ nadzoru rynku może odstąpić od nadzoru nad zniszczeniem pojazdu, przedmiotu wyposażenia lub części, jeżeli czynności tej dokonują zakłady, o których mowa w ust. 2 pkt 1.</w:t>
            </w:r>
          </w:p>
          <w:p w14:paraId="35750FC0"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7. Dyrektor TDT jako organ nadzoru rynku może zezwolić na przemieszczenie pojazdu, przedmiotu wyposażenia lub części, pod nadzorem Dyrektora TDT jako organu nadzoru rynku między różnymi miejscami na obszarze państw członkowskich Unii Europejskiej w celu ich zniszczenia pod </w:t>
            </w:r>
            <w:r w:rsidRPr="001C7DBF">
              <w:rPr>
                <w:rFonts w:asciiTheme="minorHAnsi" w:hAnsiTheme="minorHAnsi" w:cstheme="minorHAnsi"/>
                <w:b/>
                <w:i/>
                <w:sz w:val="22"/>
                <w:szCs w:val="22"/>
              </w:rPr>
              <w:lastRenderedPageBreak/>
              <w:t>nadzorem organów nadzoru rynku innego państwa członkowskiego.</w:t>
            </w:r>
          </w:p>
          <w:p w14:paraId="66EA0D7E"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8. Przed zniszczeniem pojazdu, przedmiotu wyposażenia lub części Dyrektor TDT jako organ nadzoru rynku może pobrać próbki. Pobrane przed zniszczeniem próbki mogą być wykorzystane w celach edukacyjnych.</w:t>
            </w:r>
          </w:p>
          <w:p w14:paraId="3C148552" w14:textId="11D66F1B"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9. Podmiot gospodarczy albo importer, na którym ciąży obowiązek wykonania decyzji o zniszczeniu, przekazuje pojazd, przedmiot wyposażenia lub część do zakładu</w:t>
            </w:r>
            <w:r>
              <w:rPr>
                <w:rFonts w:asciiTheme="minorHAnsi" w:hAnsiTheme="minorHAnsi" w:cstheme="minorHAnsi"/>
                <w:b/>
                <w:i/>
                <w:sz w:val="22"/>
                <w:szCs w:val="22"/>
              </w:rPr>
              <w:t>,</w:t>
            </w:r>
            <w:r w:rsidRPr="001C7DBF">
              <w:rPr>
                <w:rFonts w:asciiTheme="minorHAnsi" w:hAnsiTheme="minorHAnsi" w:cstheme="minorHAnsi"/>
                <w:b/>
                <w:i/>
                <w:sz w:val="22"/>
                <w:szCs w:val="22"/>
              </w:rPr>
              <w:t xml:space="preserve"> </w:t>
            </w:r>
            <w:r>
              <w:rPr>
                <w:rFonts w:asciiTheme="minorHAnsi" w:hAnsiTheme="minorHAnsi" w:cstheme="minorHAnsi"/>
                <w:b/>
                <w:i/>
                <w:sz w:val="22"/>
                <w:szCs w:val="22"/>
              </w:rPr>
              <w:t>o którym mowa</w:t>
            </w:r>
            <w:r w:rsidRPr="001C7DBF">
              <w:rPr>
                <w:rFonts w:asciiTheme="minorHAnsi" w:hAnsiTheme="minorHAnsi" w:cstheme="minorHAnsi"/>
                <w:b/>
                <w:i/>
                <w:sz w:val="22"/>
                <w:szCs w:val="22"/>
              </w:rPr>
              <w:t xml:space="preserve"> w ust. 2</w:t>
            </w:r>
            <w:r>
              <w:rPr>
                <w:rFonts w:asciiTheme="minorHAnsi" w:hAnsiTheme="minorHAnsi" w:cstheme="minorHAnsi"/>
                <w:b/>
                <w:i/>
                <w:sz w:val="22"/>
                <w:szCs w:val="22"/>
              </w:rPr>
              <w:t>,</w:t>
            </w:r>
            <w:r w:rsidRPr="001C7DBF">
              <w:rPr>
                <w:rFonts w:asciiTheme="minorHAnsi" w:hAnsiTheme="minorHAnsi" w:cstheme="minorHAnsi"/>
                <w:b/>
                <w:i/>
                <w:sz w:val="22"/>
                <w:szCs w:val="22"/>
              </w:rPr>
              <w:t xml:space="preserve"> w terminie określonym w decyzji.</w:t>
            </w:r>
          </w:p>
          <w:p w14:paraId="18A78655" w14:textId="6E428F76"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10. Zakład, o którym mowa w ust. </w:t>
            </w:r>
            <w:r>
              <w:rPr>
                <w:rFonts w:asciiTheme="minorHAnsi" w:hAnsiTheme="minorHAnsi" w:cstheme="minorHAnsi"/>
                <w:b/>
                <w:i/>
                <w:sz w:val="22"/>
                <w:szCs w:val="22"/>
              </w:rPr>
              <w:t>2,</w:t>
            </w:r>
            <w:r w:rsidRPr="001C7DBF">
              <w:rPr>
                <w:rFonts w:asciiTheme="minorHAnsi" w:hAnsiTheme="minorHAnsi" w:cstheme="minorHAnsi"/>
                <w:b/>
                <w:i/>
                <w:sz w:val="22"/>
                <w:szCs w:val="22"/>
              </w:rPr>
              <w:t xml:space="preserve"> sporządza protokół ze zniszczenia, zawierający w szczególności:</w:t>
            </w:r>
          </w:p>
          <w:p w14:paraId="6DD9222C" w14:textId="77777777"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nazwę i adres zakładu;</w:t>
            </w:r>
          </w:p>
          <w:p w14:paraId="3E00F423" w14:textId="77777777"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datę i miejsce zniszczenia;</w:t>
            </w:r>
          </w:p>
          <w:p w14:paraId="45A2A9D2" w14:textId="0A869B08"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nazwę i adres podmiotu gospodarczego zlecającego zniszczenie;</w:t>
            </w:r>
          </w:p>
          <w:p w14:paraId="0C59C598" w14:textId="68F62A71"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oznaczenie pojazdu, przedmiotu wyposażenia lub części, w tym numer VIN lub numer seryjny, jeśli występuje;</w:t>
            </w:r>
          </w:p>
          <w:p w14:paraId="6AFE05B3" w14:textId="77777777"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 xml:space="preserve">liczbę sztuk oraz wagę zniszczonych pojazdów, </w:t>
            </w:r>
            <w:r w:rsidRPr="001C7DBF">
              <w:rPr>
                <w:rFonts w:asciiTheme="minorHAnsi" w:hAnsiTheme="minorHAnsi" w:cstheme="minorHAnsi"/>
                <w:b/>
                <w:i/>
                <w:sz w:val="22"/>
                <w:szCs w:val="22"/>
              </w:rPr>
              <w:lastRenderedPageBreak/>
              <w:t>przedmiotów wyposażenia lub części;</w:t>
            </w:r>
          </w:p>
          <w:p w14:paraId="2E2D87AF" w14:textId="77777777"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opis zastosowanej metody zniszczenia;</w:t>
            </w:r>
          </w:p>
          <w:p w14:paraId="23BB0E88" w14:textId="77777777"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opis odpadów i pozostałości pochodzących ze zniszczenia;</w:t>
            </w:r>
          </w:p>
          <w:p w14:paraId="5A293598" w14:textId="77777777" w:rsidR="0059404D" w:rsidRPr="001C7DBF" w:rsidRDefault="0059404D" w:rsidP="0042202B">
            <w:pPr>
              <w:pStyle w:val="ZUSTzmustartykuempunktem"/>
              <w:numPr>
                <w:ilvl w:val="0"/>
                <w:numId w:val="20"/>
              </w:numPr>
              <w:spacing w:line="240" w:lineRule="auto"/>
              <w:ind w:left="462" w:hanging="284"/>
              <w:jc w:val="left"/>
              <w:rPr>
                <w:rFonts w:asciiTheme="minorHAnsi" w:hAnsiTheme="minorHAnsi" w:cstheme="minorHAnsi"/>
                <w:b/>
                <w:i/>
                <w:sz w:val="22"/>
                <w:szCs w:val="22"/>
              </w:rPr>
            </w:pPr>
            <w:r w:rsidRPr="001C7DBF">
              <w:rPr>
                <w:rFonts w:asciiTheme="minorHAnsi" w:hAnsiTheme="minorHAnsi" w:cstheme="minorHAnsi"/>
                <w:b/>
                <w:i/>
                <w:sz w:val="22"/>
                <w:szCs w:val="22"/>
              </w:rPr>
              <w:t>podpis osoby odpowiedzialnej za przeprowadzenie czynności.</w:t>
            </w:r>
          </w:p>
          <w:p w14:paraId="79F9FF47"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11. Protokół, o którym mowa w ust. 10, przekazywany jest w terminie 7 dni:</w:t>
            </w:r>
          </w:p>
          <w:p w14:paraId="06C338B0" w14:textId="77777777" w:rsidR="0059404D" w:rsidRPr="001C7DBF" w:rsidRDefault="0059404D" w:rsidP="0042202B">
            <w:pPr>
              <w:pStyle w:val="ZUSTzmustartykuempunktem"/>
              <w:numPr>
                <w:ilvl w:val="0"/>
                <w:numId w:val="17"/>
              </w:numPr>
              <w:spacing w:line="240" w:lineRule="auto"/>
              <w:jc w:val="left"/>
              <w:rPr>
                <w:rFonts w:asciiTheme="minorHAnsi" w:hAnsiTheme="minorHAnsi" w:cstheme="minorHAnsi"/>
                <w:b/>
                <w:i/>
                <w:sz w:val="22"/>
                <w:szCs w:val="22"/>
              </w:rPr>
            </w:pPr>
            <w:r w:rsidRPr="001C7DBF">
              <w:rPr>
                <w:rFonts w:asciiTheme="minorHAnsi" w:hAnsiTheme="minorHAnsi" w:cstheme="minorHAnsi"/>
                <w:b/>
                <w:i/>
                <w:sz w:val="22"/>
                <w:szCs w:val="22"/>
              </w:rPr>
              <w:t>Dyrektorowi Transportowego Dozoru Technicznego jako organowi nadzoru rynku – w celu potwierdzenia wykonania decyzji;</w:t>
            </w:r>
          </w:p>
          <w:p w14:paraId="0A626F03" w14:textId="77777777" w:rsidR="0059404D" w:rsidRPr="001C7DBF" w:rsidRDefault="0059404D" w:rsidP="0042202B">
            <w:pPr>
              <w:pStyle w:val="ZUSTzmustartykuempunktem"/>
              <w:numPr>
                <w:ilvl w:val="0"/>
                <w:numId w:val="17"/>
              </w:numPr>
              <w:spacing w:line="240" w:lineRule="auto"/>
              <w:ind w:left="870"/>
              <w:jc w:val="left"/>
              <w:rPr>
                <w:rFonts w:asciiTheme="minorHAnsi" w:hAnsiTheme="minorHAnsi" w:cstheme="minorHAnsi"/>
                <w:b/>
                <w:i/>
                <w:sz w:val="22"/>
                <w:szCs w:val="22"/>
              </w:rPr>
            </w:pPr>
            <w:r w:rsidRPr="001C7DBF">
              <w:rPr>
                <w:rFonts w:asciiTheme="minorHAnsi" w:hAnsiTheme="minorHAnsi" w:cstheme="minorHAnsi"/>
                <w:b/>
                <w:i/>
                <w:sz w:val="22"/>
                <w:szCs w:val="22"/>
              </w:rPr>
              <w:t>podmiotowi gospodarczemu albo importerowi, na którego nałożono obowiązek wykonania decyzji.</w:t>
            </w:r>
          </w:p>
          <w:p w14:paraId="7D498CF8" w14:textId="46C71528"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1</w:t>
            </w:r>
            <w:r>
              <w:rPr>
                <w:rFonts w:asciiTheme="minorHAnsi" w:hAnsiTheme="minorHAnsi" w:cstheme="minorHAnsi"/>
                <w:b/>
                <w:i/>
                <w:sz w:val="22"/>
                <w:szCs w:val="22"/>
              </w:rPr>
              <w:t>2</w:t>
            </w:r>
            <w:r w:rsidRPr="001C7DBF">
              <w:rPr>
                <w:rFonts w:asciiTheme="minorHAnsi" w:hAnsiTheme="minorHAnsi" w:cstheme="minorHAnsi"/>
                <w:b/>
                <w:i/>
                <w:sz w:val="22"/>
                <w:szCs w:val="22"/>
              </w:rPr>
              <w:t>. Podmiot gospodarczy, któremu została doręczona decyzja o zniszczeniu pojazdu, przedmiotu wyposażenia lub części, jest obowiązany, w terminie 20 dni od dnia zniszczenia pojazdu, przedmiotu wyposażenia lub części, do nadania przeznaczenia odpadom i pozostałościom pochodzącym ze zniszczenia pojazdu, przedmiotu wyposażenia lub części.</w:t>
            </w:r>
          </w:p>
          <w:p w14:paraId="09B1FFDB" w14:textId="1AC67B19"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lastRenderedPageBreak/>
              <w:t>1</w:t>
            </w:r>
            <w:r>
              <w:rPr>
                <w:rFonts w:asciiTheme="minorHAnsi" w:hAnsiTheme="minorHAnsi" w:cstheme="minorHAnsi"/>
                <w:b/>
                <w:i/>
                <w:sz w:val="22"/>
                <w:szCs w:val="22"/>
              </w:rPr>
              <w:t>3</w:t>
            </w:r>
            <w:r w:rsidRPr="001C7DBF">
              <w:rPr>
                <w:rFonts w:asciiTheme="minorHAnsi" w:hAnsiTheme="minorHAnsi" w:cstheme="minorHAnsi"/>
                <w:b/>
                <w:i/>
                <w:sz w:val="22"/>
                <w:szCs w:val="22"/>
              </w:rPr>
              <w:t>. W przypadku</w:t>
            </w:r>
            <w:r>
              <w:rPr>
                <w:rFonts w:asciiTheme="minorHAnsi" w:hAnsiTheme="minorHAnsi" w:cstheme="minorHAnsi"/>
                <w:b/>
                <w:i/>
                <w:sz w:val="22"/>
                <w:szCs w:val="22"/>
              </w:rPr>
              <w:t>,</w:t>
            </w:r>
            <w:r w:rsidRPr="001C7DBF">
              <w:rPr>
                <w:rFonts w:asciiTheme="minorHAnsi" w:hAnsiTheme="minorHAnsi" w:cstheme="minorHAnsi"/>
                <w:b/>
                <w:i/>
                <w:sz w:val="22"/>
                <w:szCs w:val="22"/>
              </w:rPr>
              <w:t xml:space="preserve"> gdy podmiot gospodarczy nie wykonał decyzji o zniszczeniu pojazdu, przedmiotu wyposażenia lub części w terminie 90 dni, Dyrektor TDT jako organ nadzoru rynku wydaje decyzję o dokonaniu ich zniszczenia na koszt tego podmiotu.</w:t>
            </w:r>
          </w:p>
          <w:p w14:paraId="0CB12E7B" w14:textId="395048C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1</w:t>
            </w:r>
            <w:r>
              <w:rPr>
                <w:rFonts w:asciiTheme="minorHAnsi" w:hAnsiTheme="minorHAnsi" w:cstheme="minorHAnsi"/>
                <w:b/>
                <w:i/>
                <w:sz w:val="22"/>
                <w:szCs w:val="22"/>
              </w:rPr>
              <w:t>4</w:t>
            </w:r>
            <w:r w:rsidRPr="001C7DBF">
              <w:rPr>
                <w:rFonts w:asciiTheme="minorHAnsi" w:hAnsiTheme="minorHAnsi" w:cstheme="minorHAnsi"/>
                <w:b/>
                <w:i/>
                <w:sz w:val="22"/>
                <w:szCs w:val="22"/>
              </w:rPr>
              <w:t xml:space="preserve">. W decyzji, o której mowa w ust. 14, Dyrektor TDT określa kwotę stanowiąca równowartość kosztów zniszczenia pojazdu, wyposażenia lub części oraz </w:t>
            </w:r>
            <w:r>
              <w:rPr>
                <w:rFonts w:asciiTheme="minorHAnsi" w:hAnsiTheme="minorHAnsi" w:cstheme="minorHAnsi"/>
                <w:b/>
                <w:i/>
                <w:sz w:val="22"/>
                <w:szCs w:val="22"/>
              </w:rPr>
              <w:t>innych</w:t>
            </w:r>
            <w:r w:rsidRPr="001C7DBF">
              <w:rPr>
                <w:rFonts w:asciiTheme="minorHAnsi" w:hAnsiTheme="minorHAnsi" w:cstheme="minorHAnsi"/>
                <w:b/>
                <w:i/>
                <w:sz w:val="22"/>
                <w:szCs w:val="22"/>
              </w:rPr>
              <w:t xml:space="preserve"> poniesionych przez Dyrektora TDT kosztów związanych z ich zniszczeniem, w szczególności kosztów transportu i przechowywania. Kwota określona w decyzji podlega ściągnięciu na podstawie przepisów o postępowaniu egzekucyjnym w administracji.</w:t>
            </w:r>
          </w:p>
          <w:p w14:paraId="0450E7D3" w14:textId="77777777" w:rsidR="0059404D" w:rsidRPr="001C7DBF" w:rsidRDefault="0059404D" w:rsidP="0042202B">
            <w:pPr>
              <w:pStyle w:val="ZUSTzmustartykuempunktem"/>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1</w:t>
            </w:r>
            <w:r>
              <w:rPr>
                <w:rFonts w:asciiTheme="minorHAnsi" w:hAnsiTheme="minorHAnsi" w:cstheme="minorHAnsi"/>
                <w:b/>
                <w:i/>
                <w:sz w:val="22"/>
                <w:szCs w:val="22"/>
              </w:rPr>
              <w:t>5</w:t>
            </w:r>
            <w:r w:rsidRPr="001C7DBF">
              <w:rPr>
                <w:rFonts w:asciiTheme="minorHAnsi" w:hAnsiTheme="minorHAnsi" w:cstheme="minorHAnsi"/>
                <w:b/>
                <w:i/>
                <w:sz w:val="22"/>
                <w:szCs w:val="22"/>
              </w:rPr>
              <w:t xml:space="preserve">. Kwota, o której mowa w ust. 15, stanowi przychód Dyrektora TDT jako organu nadzoru rynku. </w:t>
            </w:r>
          </w:p>
          <w:p w14:paraId="670A15E6" w14:textId="678DC35D" w:rsidR="0059404D" w:rsidRPr="001C7DBF"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1C7DBF">
              <w:rPr>
                <w:rFonts w:asciiTheme="minorHAnsi" w:hAnsiTheme="minorHAnsi" w:cstheme="minorHAnsi"/>
                <w:b/>
                <w:i/>
                <w:sz w:val="22"/>
                <w:szCs w:val="22"/>
              </w:rPr>
              <w:t>1</w:t>
            </w:r>
            <w:r>
              <w:rPr>
                <w:rFonts w:asciiTheme="minorHAnsi" w:hAnsiTheme="minorHAnsi" w:cstheme="minorHAnsi"/>
                <w:b/>
                <w:i/>
                <w:sz w:val="22"/>
                <w:szCs w:val="22"/>
              </w:rPr>
              <w:t>6</w:t>
            </w:r>
            <w:r w:rsidRPr="001C7DBF">
              <w:rPr>
                <w:rFonts w:asciiTheme="minorHAnsi" w:hAnsiTheme="minorHAnsi" w:cstheme="minorHAnsi"/>
                <w:b/>
                <w:i/>
                <w:sz w:val="22"/>
                <w:szCs w:val="22"/>
              </w:rPr>
              <w:t xml:space="preserve">. Minister właściwy do spraw transportu określi, w drodze rozporządzenia, </w:t>
            </w:r>
            <w:r>
              <w:rPr>
                <w:rFonts w:asciiTheme="minorHAnsi" w:hAnsiTheme="minorHAnsi" w:cstheme="minorHAnsi"/>
                <w:b/>
                <w:i/>
                <w:sz w:val="22"/>
                <w:szCs w:val="22"/>
              </w:rPr>
              <w:t xml:space="preserve">wzór </w:t>
            </w:r>
            <w:r w:rsidRPr="001C7DBF">
              <w:rPr>
                <w:rFonts w:asciiTheme="minorHAnsi" w:hAnsiTheme="minorHAnsi" w:cstheme="minorHAnsi"/>
                <w:b/>
                <w:i/>
                <w:sz w:val="22"/>
                <w:szCs w:val="22"/>
              </w:rPr>
              <w:t>protok</w:t>
            </w:r>
            <w:r>
              <w:rPr>
                <w:rFonts w:asciiTheme="minorHAnsi" w:hAnsiTheme="minorHAnsi" w:cstheme="minorHAnsi"/>
                <w:b/>
                <w:i/>
                <w:sz w:val="22"/>
                <w:szCs w:val="22"/>
              </w:rPr>
              <w:t>ołu</w:t>
            </w:r>
            <w:r w:rsidRPr="001C7DBF">
              <w:rPr>
                <w:rFonts w:asciiTheme="minorHAnsi" w:hAnsiTheme="minorHAnsi" w:cstheme="minorHAnsi"/>
                <w:b/>
                <w:i/>
                <w:sz w:val="22"/>
                <w:szCs w:val="22"/>
              </w:rPr>
              <w:t xml:space="preserve"> ze zniszczenia pojazdu, przedmiotu wyposażenia lub części, </w:t>
            </w:r>
            <w:r w:rsidRPr="00B40406">
              <w:rPr>
                <w:rFonts w:asciiTheme="minorHAnsi" w:hAnsiTheme="minorHAnsi" w:cstheme="minorHAnsi"/>
                <w:b/>
                <w:i/>
                <w:sz w:val="22"/>
                <w:szCs w:val="22"/>
              </w:rPr>
              <w:t xml:space="preserve"> mając na względzie jednolitość dokumentacji i danych w nich zawartych.</w:t>
            </w:r>
            <w:r>
              <w:rPr>
                <w:rFonts w:asciiTheme="minorHAnsi" w:hAnsiTheme="minorHAnsi" w:cstheme="minorHAnsi"/>
                <w:b/>
                <w:i/>
                <w:sz w:val="22"/>
                <w:szCs w:val="22"/>
              </w:rPr>
              <w:t>”</w:t>
            </w:r>
          </w:p>
        </w:tc>
        <w:tc>
          <w:tcPr>
            <w:tcW w:w="3686" w:type="dxa"/>
          </w:tcPr>
          <w:p w14:paraId="12791728"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2B58A249"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4F2323A8" w14:textId="77777777" w:rsidR="007B6387" w:rsidRDefault="007B6387" w:rsidP="0042202B">
            <w:pPr>
              <w:rPr>
                <w:rFonts w:cstheme="minorHAnsi"/>
                <w:b/>
              </w:rPr>
            </w:pPr>
          </w:p>
          <w:p w14:paraId="121BC080"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59EE1DC4" w14:textId="02569873" w:rsidR="007B6387" w:rsidRPr="00FC4BF9" w:rsidRDefault="007B6387" w:rsidP="0042202B">
            <w:pPr>
              <w:rPr>
                <w:rFonts w:cstheme="minorHAnsi"/>
                <w:b/>
              </w:rPr>
            </w:pPr>
          </w:p>
        </w:tc>
      </w:tr>
      <w:tr w:rsidR="0059404D" w:rsidRPr="003A5AAB" w14:paraId="102AF5F1" w14:textId="1EF8DDD8" w:rsidTr="00D76FE7">
        <w:tc>
          <w:tcPr>
            <w:tcW w:w="562" w:type="dxa"/>
          </w:tcPr>
          <w:p w14:paraId="0ED93D9E" w14:textId="73F5F62E" w:rsidR="0059404D" w:rsidRPr="005B36C5" w:rsidRDefault="0059404D" w:rsidP="0042202B">
            <w:pPr>
              <w:rPr>
                <w:rFonts w:cstheme="minorHAnsi"/>
                <w:b/>
              </w:rPr>
            </w:pPr>
            <w:r w:rsidRPr="005B36C5">
              <w:rPr>
                <w:rFonts w:cstheme="minorHAnsi"/>
                <w:b/>
              </w:rPr>
              <w:lastRenderedPageBreak/>
              <w:t>9</w:t>
            </w:r>
          </w:p>
        </w:tc>
        <w:tc>
          <w:tcPr>
            <w:tcW w:w="993" w:type="dxa"/>
          </w:tcPr>
          <w:p w14:paraId="3F1D8873" w14:textId="0AE0FA7B" w:rsidR="0059404D" w:rsidRPr="005B36C5" w:rsidRDefault="0059404D" w:rsidP="0042202B">
            <w:pPr>
              <w:rPr>
                <w:rFonts w:cstheme="minorHAnsi"/>
                <w:b/>
              </w:rPr>
            </w:pPr>
            <w:r w:rsidRPr="005B36C5">
              <w:rPr>
                <w:rFonts w:cstheme="minorHAnsi"/>
                <w:b/>
              </w:rPr>
              <w:t>RCL</w:t>
            </w:r>
          </w:p>
        </w:tc>
        <w:tc>
          <w:tcPr>
            <w:tcW w:w="1701" w:type="dxa"/>
          </w:tcPr>
          <w:p w14:paraId="6B088A80" w14:textId="55F89702" w:rsidR="0059404D" w:rsidRPr="005B36C5" w:rsidRDefault="0059404D" w:rsidP="0042202B">
            <w:pPr>
              <w:rPr>
                <w:rFonts w:cstheme="minorHAnsi"/>
                <w:b/>
              </w:rPr>
            </w:pPr>
            <w:r w:rsidRPr="005B36C5">
              <w:rPr>
                <w:rFonts w:cstheme="minorHAnsi"/>
                <w:b/>
              </w:rPr>
              <w:t>Art. 53d UH</w:t>
            </w:r>
          </w:p>
        </w:tc>
        <w:tc>
          <w:tcPr>
            <w:tcW w:w="5953" w:type="dxa"/>
          </w:tcPr>
          <w:p w14:paraId="41B651D4" w14:textId="18792794" w:rsidR="0059404D" w:rsidRPr="005B36C5" w:rsidRDefault="0059404D" w:rsidP="0042202B">
            <w:pPr>
              <w:widowControl w:val="0"/>
              <w:tabs>
                <w:tab w:val="left" w:pos="1133"/>
              </w:tabs>
              <w:rPr>
                <w:rFonts w:cstheme="minorHAnsi"/>
                <w:b/>
              </w:rPr>
            </w:pPr>
            <w:r w:rsidRPr="005B36C5">
              <w:rPr>
                <w:rFonts w:cstheme="minorHAnsi"/>
                <w:b/>
              </w:rPr>
              <w:t>Zastrzeżenia budzi przewidziany w projektowanym art. 53d ustawy (art. 1 pkt 8 projektu) nakaz odpowiedniego stosowania przepisów Kodeksu postępowania administracyjnego do czynności podejmowanych przez Dyrektora TDT jako organu nadzoru rynku w zakresie nieuregulowanym ustawą, przepisami wskazanych rozporządzeń Unii Europejskiej, aktów wymienionych w tych rozporządzeniach oraz aktów wydanych na podstawie tych rozporządzeń oraz regulaminów ONZ. Po pierwsze nie jest jasne, o jakie konkretnie czynności podejmowane przez Dyrektora TDT chodzi. Po drugie nie jest jasne dlaczego jest mowa o odpowiednim stosowaniu przepisów Kodeksu postępowania administracyjnego. Po trzecie zauważa się, że w odniesieniu do nakładania przez Dyrektora TDT administracyjnych kar pieniężnych czy wydawania decyzji administracyjnych wydaje się, że jest oczywiste, że przepisy Kodeksu postępowania administracyjnego stosuje się wprost. Mając powyższe na względzie proponowany przepis wymaga usunięcia albo takiego skonstruowania, aby nie budził ww. zastrzeżeń.</w:t>
            </w:r>
          </w:p>
        </w:tc>
        <w:tc>
          <w:tcPr>
            <w:tcW w:w="3827" w:type="dxa"/>
          </w:tcPr>
          <w:p w14:paraId="4A3878B3" w14:textId="25CC90C7" w:rsidR="0059404D" w:rsidRPr="003A5AAB" w:rsidRDefault="0059404D" w:rsidP="0042202B">
            <w:pPr>
              <w:rPr>
                <w:rFonts w:cstheme="minorHAnsi"/>
                <w:b/>
                <w:i/>
              </w:rPr>
            </w:pPr>
            <w:r w:rsidRPr="003A5AAB">
              <w:rPr>
                <w:rFonts w:cstheme="minorHAnsi"/>
                <w:b/>
              </w:rPr>
              <w:t xml:space="preserve">Uwaga uwzględniona – usunięto przepis. </w:t>
            </w:r>
          </w:p>
          <w:p w14:paraId="3800C24E" w14:textId="77E44A2F" w:rsidR="0059404D" w:rsidRPr="003A5AAB" w:rsidRDefault="0059404D" w:rsidP="0042202B">
            <w:pPr>
              <w:rPr>
                <w:rFonts w:cstheme="minorHAnsi"/>
                <w:b/>
              </w:rPr>
            </w:pPr>
          </w:p>
        </w:tc>
        <w:tc>
          <w:tcPr>
            <w:tcW w:w="3686" w:type="dxa"/>
          </w:tcPr>
          <w:p w14:paraId="48434C89"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243E3670"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0240AAED" w14:textId="77777777" w:rsidR="007B6387" w:rsidRDefault="007B6387" w:rsidP="0042202B">
            <w:pPr>
              <w:rPr>
                <w:rFonts w:cstheme="minorHAnsi"/>
                <w:b/>
              </w:rPr>
            </w:pPr>
          </w:p>
          <w:p w14:paraId="05E9EC78"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4C6361B0" w14:textId="01BB1C7D" w:rsidR="007B6387" w:rsidRPr="003A5AAB" w:rsidRDefault="007B6387" w:rsidP="0042202B">
            <w:pPr>
              <w:rPr>
                <w:rFonts w:cstheme="minorHAnsi"/>
                <w:b/>
              </w:rPr>
            </w:pPr>
          </w:p>
        </w:tc>
      </w:tr>
      <w:tr w:rsidR="0059404D" w:rsidRPr="00F515D6" w14:paraId="2F17867D" w14:textId="1BA77BF3" w:rsidTr="00D76FE7">
        <w:tc>
          <w:tcPr>
            <w:tcW w:w="562" w:type="dxa"/>
          </w:tcPr>
          <w:p w14:paraId="0A6F3CCC" w14:textId="43955DBF" w:rsidR="0059404D" w:rsidRPr="005B36C5" w:rsidRDefault="0059404D" w:rsidP="0042202B">
            <w:pPr>
              <w:rPr>
                <w:rFonts w:cstheme="minorHAnsi"/>
                <w:b/>
              </w:rPr>
            </w:pPr>
            <w:r w:rsidRPr="005B36C5">
              <w:rPr>
                <w:rFonts w:cstheme="minorHAnsi"/>
                <w:b/>
              </w:rPr>
              <w:t>10</w:t>
            </w:r>
          </w:p>
        </w:tc>
        <w:tc>
          <w:tcPr>
            <w:tcW w:w="993" w:type="dxa"/>
          </w:tcPr>
          <w:p w14:paraId="687C25BD" w14:textId="20C8E5D0" w:rsidR="0059404D" w:rsidRPr="005B36C5" w:rsidRDefault="0059404D" w:rsidP="0042202B">
            <w:pPr>
              <w:rPr>
                <w:rFonts w:cstheme="minorHAnsi"/>
                <w:b/>
              </w:rPr>
            </w:pPr>
            <w:r w:rsidRPr="005B36C5">
              <w:rPr>
                <w:rFonts w:cstheme="minorHAnsi"/>
                <w:b/>
              </w:rPr>
              <w:t>RCL</w:t>
            </w:r>
          </w:p>
        </w:tc>
        <w:tc>
          <w:tcPr>
            <w:tcW w:w="1701" w:type="dxa"/>
          </w:tcPr>
          <w:p w14:paraId="7DC0B65F" w14:textId="6D2B048A" w:rsidR="0059404D" w:rsidRPr="005B36C5" w:rsidRDefault="0059404D" w:rsidP="0042202B">
            <w:pPr>
              <w:rPr>
                <w:rFonts w:cstheme="minorHAnsi"/>
                <w:b/>
              </w:rPr>
            </w:pPr>
            <w:r w:rsidRPr="005B36C5">
              <w:rPr>
                <w:rFonts w:cstheme="minorHAnsi"/>
                <w:b/>
              </w:rPr>
              <w:t>Art. 68a ust. 2 pkt 2 UH</w:t>
            </w:r>
          </w:p>
        </w:tc>
        <w:tc>
          <w:tcPr>
            <w:tcW w:w="5953" w:type="dxa"/>
          </w:tcPr>
          <w:p w14:paraId="73BFFFE9" w14:textId="77777777" w:rsidR="0059404D" w:rsidRPr="005B36C5" w:rsidRDefault="0059404D" w:rsidP="0042202B">
            <w:pPr>
              <w:widowControl w:val="0"/>
              <w:numPr>
                <w:ilvl w:val="0"/>
                <w:numId w:val="4"/>
              </w:numPr>
              <w:tabs>
                <w:tab w:val="left" w:pos="790"/>
              </w:tabs>
              <w:ind w:hanging="567"/>
              <w:rPr>
                <w:rFonts w:cstheme="minorHAnsi"/>
                <w:b/>
              </w:rPr>
            </w:pPr>
            <w:r w:rsidRPr="005B36C5">
              <w:rPr>
                <w:rFonts w:cstheme="minorHAnsi"/>
                <w:b/>
              </w:rPr>
              <w:t xml:space="preserve">Na podstawie obowiązujących przepisów Dyrektor TDT, w drodze decyzji administracyjnej, za opłatą, na wniosek producenta, przedstawiciela producenta, importera albo właściciela pojazdu wydaje świadectwo unijnego indywidualnego dopuszczenia pojazdu oraz świadectwo krajowego indywidualnego dopuszczenia pojazdu (art. 60 ust. 1 ustawy). Projektowany art. 68a ust. 2 pkt 2 ustawy (art. 1 pkt 10 projektu) wskazuje na dwa rodzaje krajowego indywidualnego dopuszczenia pojazdu, tj. </w:t>
            </w:r>
            <w:r w:rsidRPr="005B36C5">
              <w:rPr>
                <w:rStyle w:val="Teksttreci20"/>
                <w:rFonts w:asciiTheme="minorHAnsi" w:eastAsiaTheme="minorHAnsi" w:hAnsiTheme="minorHAnsi" w:cstheme="minorHAnsi"/>
                <w:b/>
                <w:sz w:val="22"/>
                <w:szCs w:val="22"/>
                <w:u w:val="none"/>
              </w:rPr>
              <w:t xml:space="preserve">krajowe </w:t>
            </w:r>
            <w:r w:rsidRPr="005B36C5">
              <w:rPr>
                <w:rStyle w:val="Teksttreci20"/>
                <w:rFonts w:asciiTheme="minorHAnsi" w:eastAsiaTheme="minorHAnsi" w:hAnsiTheme="minorHAnsi" w:cstheme="minorHAnsi"/>
                <w:b/>
                <w:sz w:val="22"/>
                <w:szCs w:val="22"/>
                <w:u w:val="none"/>
              </w:rPr>
              <w:lastRenderedPageBreak/>
              <w:t>indywidualne dopuszczenie nowego pojazdu oraz krajowe indywidualne dopuszczenie pojazdu niebędącego nowym pojazdem</w:t>
            </w:r>
            <w:r w:rsidRPr="005B36C5">
              <w:rPr>
                <w:rFonts w:cstheme="minorHAnsi"/>
                <w:b/>
              </w:rPr>
              <w:t xml:space="preserve"> oraz wprowadza procedurę krajowego indywidualnego dopuszczenia pojazdu niebędącego nowym pojazdem, która będzie miała zastosowanie do sprowadzonych z krajów trzecich wszystkich innych poza ciągnikami rolniczymi używanych pojazdów, które nie są nowymi pojazdami w rozumieniu ustawy z dnia 20 czerwca 1997 r. - Prawo o ruchu drogowym i nie podlegają krajowemu indywidualnemu dopuszczeniu pojazdu nowego. </w:t>
            </w:r>
          </w:p>
          <w:p w14:paraId="65215E3C" w14:textId="4AA6884F" w:rsidR="0059404D" w:rsidRPr="001C7DBF" w:rsidRDefault="0059404D" w:rsidP="0042202B">
            <w:pPr>
              <w:widowControl w:val="0"/>
              <w:numPr>
                <w:ilvl w:val="0"/>
                <w:numId w:val="4"/>
              </w:numPr>
              <w:tabs>
                <w:tab w:val="left" w:pos="790"/>
              </w:tabs>
              <w:ind w:hanging="567"/>
              <w:rPr>
                <w:rFonts w:cstheme="minorHAnsi"/>
                <w:b/>
              </w:rPr>
            </w:pPr>
            <w:r w:rsidRPr="005B36C5">
              <w:rPr>
                <w:rStyle w:val="Teksttreci20"/>
                <w:rFonts w:asciiTheme="minorHAnsi" w:eastAsiaTheme="minorHAnsi" w:hAnsiTheme="minorHAnsi" w:cstheme="minorHAnsi"/>
                <w:b/>
                <w:sz w:val="22"/>
                <w:szCs w:val="22"/>
                <w:u w:val="none"/>
              </w:rPr>
              <w:t>W przypadku tej procedury świadectwa krajowego indywidualnego dopuszczenia pojazdu niebędącego nowym pojazdem</w:t>
            </w:r>
            <w:r w:rsidRPr="005B36C5">
              <w:rPr>
                <w:rFonts w:cstheme="minorHAnsi"/>
                <w:b/>
              </w:rPr>
              <w:t xml:space="preserve"> będą wydawane na wniosek właściciela takiego pojazdu przez </w:t>
            </w:r>
            <w:r w:rsidRPr="005B36C5">
              <w:rPr>
                <w:rStyle w:val="Teksttreci20"/>
                <w:rFonts w:asciiTheme="minorHAnsi" w:eastAsiaTheme="minorHAnsi" w:hAnsiTheme="minorHAnsi" w:cstheme="minorHAnsi"/>
                <w:b/>
                <w:sz w:val="22"/>
                <w:szCs w:val="22"/>
                <w:u w:val="none"/>
              </w:rPr>
              <w:t>uprawnionego diagnostę zatrudnionego</w:t>
            </w:r>
            <w:r w:rsidRPr="005B36C5">
              <w:rPr>
                <w:rFonts w:cstheme="minorHAnsi"/>
                <w:b/>
              </w:rPr>
              <w:t xml:space="preserve"> w okręgowej lub podstawowej stacji kontroli pojazdów, a nadzór nad przeprowadzeniem tej procedury będzie sprawował Dyrektor TDT. Mając powyższe na uwadze, konieczne wydaje się wprowadzenie niezbędnych zmian wynikowych, w szczególności art. 3 ust. 1 pkt 2 ustawy, zgodnie z którym Dyrektor TDT jest organem udzielającym m.in. krajowego indywidualnego dopuszczenia pojazdu. Zgodnie z nowymi regulacjami Dyrektor TDT będzie wydawał świadectwo krajowego indywidulanego dopuszczenia </w:t>
            </w:r>
            <w:r w:rsidRPr="005B36C5">
              <w:rPr>
                <w:rStyle w:val="Teksttreci20"/>
                <w:rFonts w:asciiTheme="minorHAnsi" w:eastAsiaTheme="minorHAnsi" w:hAnsiTheme="minorHAnsi" w:cstheme="minorHAnsi"/>
                <w:b/>
                <w:sz w:val="22"/>
                <w:szCs w:val="22"/>
                <w:u w:val="none"/>
              </w:rPr>
              <w:t>nowego pojazdu</w:t>
            </w:r>
            <w:r w:rsidRPr="005B36C5">
              <w:rPr>
                <w:rFonts w:cstheme="minorHAnsi"/>
                <w:b/>
              </w:rPr>
              <w:t xml:space="preserve"> (dodawany art. 68c ust. 1 pkt 2 ustawy), a w przypadku świadectwa krajowego indywidualnego dopuszczenia pojazdu niebędącego nowym pojazdem posiada uprawnienia nadzorcze, co wynika z projektowanego art. 68j ust. 1 ustawy.</w:t>
            </w:r>
          </w:p>
        </w:tc>
        <w:tc>
          <w:tcPr>
            <w:tcW w:w="3827" w:type="dxa"/>
          </w:tcPr>
          <w:p w14:paraId="1FC49367" w14:textId="48E84BAD" w:rsidR="0059404D" w:rsidRDefault="0059404D" w:rsidP="0042202B">
            <w:pPr>
              <w:rPr>
                <w:rFonts w:cstheme="minorHAnsi"/>
                <w:b/>
              </w:rPr>
            </w:pPr>
            <w:r w:rsidRPr="005B36C5">
              <w:rPr>
                <w:rFonts w:cstheme="minorHAnsi"/>
                <w:b/>
              </w:rPr>
              <w:lastRenderedPageBreak/>
              <w:t>Uwaga uwzględniona - propozycja zmiany art. 3 ust. 1 pkt 2 UH:</w:t>
            </w:r>
          </w:p>
          <w:p w14:paraId="12AC1606" w14:textId="77777777" w:rsidR="0059404D" w:rsidRPr="005B36C5" w:rsidRDefault="0059404D" w:rsidP="0042202B">
            <w:pPr>
              <w:rPr>
                <w:rFonts w:cstheme="minorHAnsi"/>
                <w:b/>
              </w:rPr>
            </w:pPr>
          </w:p>
          <w:p w14:paraId="4042E842" w14:textId="5EEB4AD9" w:rsidR="0059404D" w:rsidRPr="00D703FB" w:rsidRDefault="0059404D" w:rsidP="0042202B">
            <w:pPr>
              <w:rPr>
                <w:b/>
                <w:i/>
              </w:rPr>
            </w:pPr>
            <w:r w:rsidRPr="00D703FB">
              <w:rPr>
                <w:b/>
                <w:i/>
              </w:rPr>
              <w:t>„Dyrektor Transportowego Dozoru Technicznego, zwany dalej ,,Dyrektorem TDT'', jest na terytorium Rzeczypospolitej Polskiej: (…)</w:t>
            </w:r>
          </w:p>
          <w:p w14:paraId="6EA4EB39" w14:textId="55A22674" w:rsidR="0059404D" w:rsidRPr="00D703FB" w:rsidRDefault="0059404D" w:rsidP="0042202B">
            <w:pPr>
              <w:rPr>
                <w:b/>
                <w:i/>
              </w:rPr>
            </w:pPr>
            <w:bookmarkStart w:id="9" w:name="mip68347198"/>
            <w:bookmarkStart w:id="10" w:name="mip68347199"/>
            <w:bookmarkEnd w:id="9"/>
            <w:bookmarkEnd w:id="10"/>
            <w:r w:rsidRPr="00D703FB">
              <w:rPr>
                <w:b/>
                <w:i/>
              </w:rPr>
              <w:t xml:space="preserve">2) organem udzielającym unijnego indywidualnego dopuszczenia pojazdu i </w:t>
            </w:r>
            <w:r w:rsidRPr="00D703FB">
              <w:rPr>
                <w:b/>
                <w:i/>
              </w:rPr>
              <w:lastRenderedPageBreak/>
              <w:t>krajowego indywidualnego dopuszczenia nowego</w:t>
            </w:r>
            <w:r w:rsidRPr="00D703FB">
              <w:rPr>
                <w:b/>
                <w:i/>
                <w:color w:val="FF0000"/>
              </w:rPr>
              <w:t xml:space="preserve"> </w:t>
            </w:r>
            <w:r w:rsidRPr="00D703FB">
              <w:rPr>
                <w:b/>
                <w:i/>
              </w:rPr>
              <w:t>pojazdu oraz organem uznającym świadectwa krajowego indywidualnego dopuszczenia pojazdu</w:t>
            </w:r>
            <w:r>
              <w:rPr>
                <w:b/>
                <w:i/>
              </w:rPr>
              <w:t xml:space="preserve"> wydane</w:t>
            </w:r>
            <w:r w:rsidRPr="00CF43CA">
              <w:rPr>
                <w:b/>
                <w:i/>
              </w:rPr>
              <w:t xml:space="preserve"> </w:t>
            </w:r>
            <w:bookmarkStart w:id="11" w:name="_Hlk221801926"/>
            <w:r w:rsidRPr="00CF43CA">
              <w:rPr>
                <w:b/>
                <w:i/>
              </w:rPr>
              <w:t>przez właściwy organ innego niż Rzeczpospolita Polska państwa członkowskiego Unii Europejskiej</w:t>
            </w:r>
            <w:bookmarkEnd w:id="11"/>
            <w:r w:rsidRPr="00D703FB">
              <w:rPr>
                <w:b/>
                <w:i/>
              </w:rPr>
              <w:t>;</w:t>
            </w:r>
            <w:r>
              <w:rPr>
                <w:b/>
                <w:i/>
              </w:rPr>
              <w:t>”</w:t>
            </w:r>
          </w:p>
          <w:p w14:paraId="5D7A1229" w14:textId="07C47994" w:rsidR="0059404D" w:rsidRPr="005B36C5" w:rsidRDefault="0059404D" w:rsidP="0042202B">
            <w:pPr>
              <w:rPr>
                <w:rFonts w:cstheme="minorHAnsi"/>
                <w:b/>
              </w:rPr>
            </w:pPr>
            <w:bookmarkStart w:id="12" w:name="mip68347200"/>
            <w:bookmarkEnd w:id="12"/>
          </w:p>
        </w:tc>
        <w:tc>
          <w:tcPr>
            <w:tcW w:w="3686" w:type="dxa"/>
          </w:tcPr>
          <w:p w14:paraId="0A695DAD"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6CC7EFBA"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1E2CFBE0" w14:textId="77777777" w:rsidR="007B6387" w:rsidRDefault="007B6387" w:rsidP="0042202B">
            <w:pPr>
              <w:rPr>
                <w:rFonts w:cstheme="minorHAnsi"/>
                <w:b/>
              </w:rPr>
            </w:pPr>
          </w:p>
          <w:p w14:paraId="3EC7920C"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034AD90C" w14:textId="100B579E" w:rsidR="007B6387" w:rsidRPr="005B36C5" w:rsidRDefault="007B6387" w:rsidP="0042202B">
            <w:pPr>
              <w:rPr>
                <w:rFonts w:cstheme="minorHAnsi"/>
                <w:b/>
              </w:rPr>
            </w:pPr>
          </w:p>
        </w:tc>
      </w:tr>
      <w:tr w:rsidR="0059404D" w:rsidRPr="00F515D6" w14:paraId="2ED2C59E" w14:textId="69754493" w:rsidTr="00D76FE7">
        <w:tc>
          <w:tcPr>
            <w:tcW w:w="562" w:type="dxa"/>
          </w:tcPr>
          <w:p w14:paraId="348F29D9" w14:textId="5A5079A3" w:rsidR="0059404D" w:rsidRPr="005A2872" w:rsidRDefault="0059404D" w:rsidP="0042202B">
            <w:pPr>
              <w:rPr>
                <w:rFonts w:cstheme="minorHAnsi"/>
                <w:b/>
              </w:rPr>
            </w:pPr>
            <w:r w:rsidRPr="005A2872">
              <w:rPr>
                <w:rFonts w:cstheme="minorHAnsi"/>
                <w:b/>
              </w:rPr>
              <w:lastRenderedPageBreak/>
              <w:t>11</w:t>
            </w:r>
          </w:p>
        </w:tc>
        <w:tc>
          <w:tcPr>
            <w:tcW w:w="993" w:type="dxa"/>
          </w:tcPr>
          <w:p w14:paraId="01C182AF" w14:textId="77777777" w:rsidR="0059404D" w:rsidRDefault="0059404D" w:rsidP="0042202B">
            <w:pPr>
              <w:rPr>
                <w:rFonts w:cstheme="minorHAnsi"/>
                <w:b/>
              </w:rPr>
            </w:pPr>
            <w:r w:rsidRPr="005A2872">
              <w:rPr>
                <w:rFonts w:cstheme="minorHAnsi"/>
                <w:b/>
              </w:rPr>
              <w:t>RCL</w:t>
            </w:r>
          </w:p>
          <w:p w14:paraId="73454BC3" w14:textId="22E359C4" w:rsidR="0059404D" w:rsidRPr="00450941" w:rsidRDefault="0059404D" w:rsidP="0042202B">
            <w:pPr>
              <w:rPr>
                <w:rFonts w:cstheme="minorHAnsi"/>
                <w:b/>
                <w:color w:val="00B050"/>
              </w:rPr>
            </w:pPr>
            <w:r>
              <w:rPr>
                <w:rFonts w:cstheme="minorHAnsi"/>
                <w:b/>
                <w:color w:val="00B050"/>
              </w:rPr>
              <w:t>+ powiązane z uwagą 53 MC dot. art.  68j ust. 5 pkt 1</w:t>
            </w:r>
          </w:p>
        </w:tc>
        <w:tc>
          <w:tcPr>
            <w:tcW w:w="1701" w:type="dxa"/>
          </w:tcPr>
          <w:p w14:paraId="44786130" w14:textId="6E748C7B" w:rsidR="0059404D" w:rsidRPr="005A2872" w:rsidRDefault="0059404D" w:rsidP="0042202B">
            <w:pPr>
              <w:rPr>
                <w:rFonts w:cstheme="minorHAnsi"/>
                <w:b/>
              </w:rPr>
            </w:pPr>
            <w:r w:rsidRPr="005A2872">
              <w:rPr>
                <w:rFonts w:cstheme="minorHAnsi"/>
                <w:b/>
              </w:rPr>
              <w:t>Art. 68j ust. 5 UH</w:t>
            </w:r>
          </w:p>
        </w:tc>
        <w:tc>
          <w:tcPr>
            <w:tcW w:w="5953" w:type="dxa"/>
          </w:tcPr>
          <w:p w14:paraId="15AEB686" w14:textId="77777777" w:rsidR="0059404D" w:rsidRPr="005A2872" w:rsidRDefault="0059404D" w:rsidP="0042202B">
            <w:pPr>
              <w:widowControl w:val="0"/>
              <w:numPr>
                <w:ilvl w:val="0"/>
                <w:numId w:val="5"/>
              </w:numPr>
              <w:tabs>
                <w:tab w:val="left" w:pos="790"/>
              </w:tabs>
              <w:ind w:hanging="567"/>
              <w:rPr>
                <w:rFonts w:cstheme="minorHAnsi"/>
                <w:b/>
              </w:rPr>
            </w:pPr>
            <w:r w:rsidRPr="005A2872">
              <w:rPr>
                <w:rFonts w:cstheme="minorHAnsi"/>
                <w:b/>
              </w:rPr>
              <w:t xml:space="preserve">W art. 1 pkt 10 projektu zastrzeżenia budzi proponowane brzmienie art. 68j ust. 5 ustawy, zgodnie z którym, </w:t>
            </w:r>
            <w:r w:rsidRPr="005A2872">
              <w:rPr>
                <w:rStyle w:val="Teksttreci20"/>
                <w:rFonts w:asciiTheme="minorHAnsi" w:eastAsiaTheme="minorHAnsi" w:hAnsiTheme="minorHAnsi" w:cstheme="minorHAnsi"/>
                <w:b/>
                <w:sz w:val="22"/>
                <w:szCs w:val="22"/>
                <w:u w:val="none"/>
              </w:rPr>
              <w:t>w przypadku stwierdzenia nieprawidłowości</w:t>
            </w:r>
            <w:r w:rsidRPr="005A2872">
              <w:rPr>
                <w:rFonts w:cstheme="minorHAnsi"/>
                <w:b/>
              </w:rPr>
              <w:t xml:space="preserve"> Dyrektor TDT </w:t>
            </w:r>
            <w:r w:rsidRPr="005A2872">
              <w:rPr>
                <w:rStyle w:val="Teksttreci20"/>
                <w:rFonts w:asciiTheme="minorHAnsi" w:eastAsiaTheme="minorHAnsi" w:hAnsiTheme="minorHAnsi" w:cstheme="minorHAnsi"/>
                <w:b/>
                <w:sz w:val="22"/>
                <w:szCs w:val="22"/>
                <w:u w:val="none"/>
              </w:rPr>
              <w:t>może</w:t>
            </w:r>
            <w:r w:rsidRPr="005A2872">
              <w:rPr>
                <w:rFonts w:cstheme="minorHAnsi"/>
                <w:b/>
              </w:rPr>
              <w:t xml:space="preserve"> cofnąć świadectwo krajowego indywidualnego dopuszczenia pojazdu niebędącego nowym pojazdem, w drodze decyzji administracyjnej, łub złożyć wniosek do starosty o cofnięcie diagnoście uprawnienia do wykonywania badań technicznych. Przy ww. konstrukcji przepisu wydaje się, że to od swobodnego uznania Dyrektora TDT będzie zależało, czy skorzysta on z ww. uprawnień i z jakich konkretnie. W tym kontekście RCL zauważa, że niezbędne jest uzupełnienie projektu i doprecyzowanie proponowanej regulacji, przykładowo przez określenie przesłanek, którymi będzie się kierował Dyrektor TDT, cofając ww. świadectwo albo składając do starosty ww. wniosek.</w:t>
            </w:r>
          </w:p>
          <w:p w14:paraId="59355743" w14:textId="77777777" w:rsidR="0059404D" w:rsidRPr="005A2872" w:rsidRDefault="0059404D" w:rsidP="0042202B">
            <w:pPr>
              <w:autoSpaceDE w:val="0"/>
              <w:autoSpaceDN w:val="0"/>
              <w:adjustRightInd w:val="0"/>
              <w:rPr>
                <w:rFonts w:cstheme="minorHAnsi"/>
                <w:b/>
              </w:rPr>
            </w:pPr>
          </w:p>
        </w:tc>
        <w:tc>
          <w:tcPr>
            <w:tcW w:w="3827" w:type="dxa"/>
          </w:tcPr>
          <w:p w14:paraId="5CFC0825" w14:textId="4B6D3D95" w:rsidR="0059404D" w:rsidRDefault="0059404D" w:rsidP="0042202B">
            <w:pPr>
              <w:rPr>
                <w:rFonts w:cstheme="minorHAnsi"/>
                <w:b/>
                <w:bCs/>
              </w:rPr>
            </w:pPr>
            <w:bookmarkStart w:id="13" w:name="_Hlk219450455"/>
            <w:r w:rsidRPr="00EF5D80">
              <w:rPr>
                <w:rFonts w:cstheme="minorHAnsi"/>
                <w:b/>
                <w:bCs/>
              </w:rPr>
              <w:t xml:space="preserve">Uwaga uwzględniona – doprecyzowanie przepisu w zakresie określenia, w jakich sytuacjach Dyrektor TDT będzie mógł cofnąć świadectwo krajowego indywidualnego dopuszczenia pojazdu niebędącego nowym pojazdem oraz wykreślenie przepisu w zakresie cofania diagnoście uprawnienia do przeprowadzania badania technicznego pojazdu w związku ze stwierdzonymi przez Dyrektora TDT nieprawidłowościami w procedurze dopuszczenia indywidualnego realizowanego przez uprawnionego diagnostę w stacji kontroli pojazdów. Jednocześnie wprowadzenie przepisu o zawiadamianiu starosty przez Dyrektora TDT o stwierdzonych nieprawidłowościach w tej procedurze stwierdzonych w toku czynności kontrolnych. </w:t>
            </w:r>
            <w:bookmarkEnd w:id="13"/>
          </w:p>
          <w:p w14:paraId="0E991735" w14:textId="71C80D72" w:rsidR="0059404D" w:rsidRDefault="0059404D" w:rsidP="0042202B">
            <w:pPr>
              <w:rPr>
                <w:rFonts w:cstheme="minorHAnsi"/>
                <w:b/>
                <w:bCs/>
              </w:rPr>
            </w:pPr>
          </w:p>
          <w:p w14:paraId="2772F9C7" w14:textId="77777777" w:rsidR="0059404D" w:rsidRDefault="0059404D" w:rsidP="0042202B">
            <w:pPr>
              <w:pStyle w:val="USTustnpkodeksu"/>
              <w:keepNext/>
              <w:spacing w:line="240" w:lineRule="auto"/>
              <w:ind w:firstLine="0"/>
              <w:jc w:val="left"/>
              <w:rPr>
                <w:rFonts w:asciiTheme="minorHAnsi" w:hAnsiTheme="minorHAnsi" w:cstheme="minorHAnsi"/>
                <w:b/>
                <w:bCs/>
                <w:i/>
                <w:sz w:val="22"/>
                <w:szCs w:val="22"/>
                <w:lang w:eastAsia="en-US"/>
              </w:rPr>
            </w:pPr>
            <w:r>
              <w:rPr>
                <w:rFonts w:asciiTheme="minorHAnsi" w:hAnsiTheme="minorHAnsi" w:cstheme="minorHAnsi"/>
                <w:b/>
                <w:bCs/>
                <w:i/>
                <w:sz w:val="22"/>
                <w:szCs w:val="22"/>
                <w:lang w:eastAsia="en-US"/>
              </w:rPr>
              <w:t xml:space="preserve">„Art. 68m. </w:t>
            </w:r>
            <w:r w:rsidRPr="001C7DBF">
              <w:rPr>
                <w:rFonts w:asciiTheme="minorHAnsi" w:hAnsiTheme="minorHAnsi" w:cstheme="minorHAnsi"/>
                <w:b/>
                <w:bCs/>
                <w:i/>
                <w:sz w:val="22"/>
                <w:szCs w:val="22"/>
                <w:lang w:eastAsia="en-US"/>
              </w:rPr>
              <w:t>5. W przypadku stwierdzenia nieprawidłowości w sytuacjach, o których mowa w ust. 2, Dyrektor TDT może cofnąć</w:t>
            </w:r>
            <w:r>
              <w:rPr>
                <w:rFonts w:asciiTheme="minorHAnsi" w:hAnsiTheme="minorHAnsi" w:cstheme="minorHAnsi"/>
                <w:b/>
                <w:bCs/>
                <w:i/>
                <w:sz w:val="22"/>
                <w:szCs w:val="22"/>
                <w:lang w:eastAsia="en-US"/>
              </w:rPr>
              <w:t>, w drodze decyzji administracyjnej,</w:t>
            </w:r>
            <w:r w:rsidRPr="001C7DBF">
              <w:rPr>
                <w:rFonts w:asciiTheme="minorHAnsi" w:hAnsiTheme="minorHAnsi" w:cstheme="minorHAnsi"/>
                <w:b/>
                <w:bCs/>
                <w:i/>
                <w:sz w:val="22"/>
                <w:szCs w:val="22"/>
                <w:lang w:eastAsia="en-US"/>
              </w:rPr>
              <w:t xml:space="preserve"> świadectwo krajowego indywidualnego </w:t>
            </w:r>
            <w:r w:rsidRPr="001C7DBF">
              <w:rPr>
                <w:rFonts w:asciiTheme="minorHAnsi" w:hAnsiTheme="minorHAnsi" w:cstheme="minorHAnsi"/>
                <w:b/>
                <w:bCs/>
                <w:i/>
                <w:sz w:val="22"/>
                <w:szCs w:val="22"/>
                <w:lang w:eastAsia="en-US"/>
              </w:rPr>
              <w:lastRenderedPageBreak/>
              <w:t>dopuszczenia pojazdu niebędącego nowym pojazdem</w:t>
            </w:r>
            <w:r>
              <w:rPr>
                <w:rFonts w:asciiTheme="minorHAnsi" w:hAnsiTheme="minorHAnsi" w:cstheme="minorHAnsi"/>
                <w:b/>
                <w:bCs/>
                <w:i/>
                <w:sz w:val="22"/>
                <w:szCs w:val="22"/>
                <w:lang w:eastAsia="en-US"/>
              </w:rPr>
              <w:t xml:space="preserve">. </w:t>
            </w:r>
          </w:p>
          <w:p w14:paraId="4EE59C8B" w14:textId="77777777" w:rsidR="0059404D" w:rsidRDefault="0059404D" w:rsidP="0042202B">
            <w:pPr>
              <w:pStyle w:val="USTustnpkodeksu"/>
              <w:keepNext/>
              <w:spacing w:line="240" w:lineRule="auto"/>
              <w:ind w:firstLine="0"/>
              <w:jc w:val="left"/>
              <w:rPr>
                <w:rFonts w:asciiTheme="minorHAnsi" w:hAnsiTheme="minorHAnsi" w:cstheme="minorHAnsi"/>
                <w:b/>
                <w:bCs/>
                <w:i/>
                <w:sz w:val="22"/>
                <w:szCs w:val="22"/>
                <w:lang w:eastAsia="en-US"/>
              </w:rPr>
            </w:pPr>
            <w:r w:rsidRPr="001C7DBF">
              <w:rPr>
                <w:rFonts w:asciiTheme="minorHAnsi" w:hAnsiTheme="minorHAnsi" w:cstheme="minorHAnsi"/>
                <w:b/>
                <w:bCs/>
                <w:i/>
                <w:sz w:val="22"/>
                <w:szCs w:val="22"/>
                <w:lang w:eastAsia="en-US"/>
              </w:rPr>
              <w:t>6. Dyrektor TDT zawiadamia o stwierdzonych w ramach czynności kontrolnych nieprawidłowościach, o których mowa w ust. 2, starostę sprawującego nadzór nad przedsiębiorcą prowadzącym stację kontroli pojazdów zatrudniającego uprawnionego diagnostę, który realizował procedurę krajowego indywidualnego dopuszczenia pojazdu niebędącego nowym pojazdem.</w:t>
            </w:r>
          </w:p>
          <w:p w14:paraId="2E0271C1" w14:textId="38E04C41" w:rsidR="0059404D" w:rsidRPr="006E5369" w:rsidRDefault="0059404D" w:rsidP="0042202B">
            <w:pPr>
              <w:pStyle w:val="USTustnpkodeksu"/>
              <w:keepNext/>
              <w:spacing w:line="240" w:lineRule="auto"/>
              <w:ind w:firstLine="0"/>
              <w:jc w:val="left"/>
              <w:rPr>
                <w:rFonts w:asciiTheme="minorHAnsi" w:hAnsiTheme="minorHAnsi" w:cstheme="minorHAnsi"/>
                <w:b/>
                <w:bCs/>
                <w:i/>
                <w:sz w:val="22"/>
                <w:szCs w:val="22"/>
                <w:lang w:eastAsia="en-US"/>
              </w:rPr>
            </w:pPr>
            <w:r w:rsidRPr="006E5369">
              <w:rPr>
                <w:rFonts w:asciiTheme="minorHAnsi" w:hAnsiTheme="minorHAnsi" w:cstheme="minorHAnsi"/>
                <w:b/>
                <w:bCs/>
                <w:i/>
                <w:sz w:val="22"/>
                <w:szCs w:val="22"/>
                <w:lang w:eastAsia="en-US"/>
              </w:rPr>
              <w:t>7. Dyrektor TDT przekazuje w postaci elektronicznej do ewidencji informacje o cofnięciu świadectwa krajowego indywidualnego dopuszczenia pojazdu niebędącego nowym pojazdem, niezwłocznie po wydaniu takiej decyzji.</w:t>
            </w:r>
            <w:r>
              <w:rPr>
                <w:rFonts w:asciiTheme="minorHAnsi" w:hAnsiTheme="minorHAnsi" w:cstheme="minorHAnsi"/>
                <w:b/>
                <w:bCs/>
                <w:i/>
                <w:sz w:val="22"/>
                <w:szCs w:val="22"/>
                <w:lang w:eastAsia="en-US"/>
              </w:rPr>
              <w:t>”</w:t>
            </w:r>
          </w:p>
        </w:tc>
        <w:tc>
          <w:tcPr>
            <w:tcW w:w="3686" w:type="dxa"/>
          </w:tcPr>
          <w:p w14:paraId="0CD16C00"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2B7526FA"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6839A361" w14:textId="77777777" w:rsidR="007B6387" w:rsidRDefault="007B6387" w:rsidP="0042202B">
            <w:pPr>
              <w:rPr>
                <w:rFonts w:cstheme="minorHAnsi"/>
                <w:b/>
                <w:bCs/>
              </w:rPr>
            </w:pPr>
          </w:p>
          <w:p w14:paraId="055AF6C9" w14:textId="77777777" w:rsidR="007B6387" w:rsidRDefault="007B6387" w:rsidP="0042202B">
            <w:pPr>
              <w:rPr>
                <w:rFonts w:cstheme="minorHAnsi"/>
                <w:b/>
                <w:bCs/>
              </w:rPr>
            </w:pPr>
          </w:p>
          <w:p w14:paraId="0DBA2C4D"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52D4A37B" w14:textId="063DA120" w:rsidR="007B6387" w:rsidRPr="00EF5D80" w:rsidRDefault="007B6387" w:rsidP="0042202B">
            <w:pPr>
              <w:rPr>
                <w:rFonts w:cstheme="minorHAnsi"/>
                <w:b/>
                <w:bCs/>
              </w:rPr>
            </w:pPr>
          </w:p>
        </w:tc>
      </w:tr>
      <w:tr w:rsidR="0059404D" w:rsidRPr="00F515D6" w14:paraId="0BB4F501" w14:textId="42907BA0" w:rsidTr="00D76FE7">
        <w:tc>
          <w:tcPr>
            <w:tcW w:w="562" w:type="dxa"/>
          </w:tcPr>
          <w:p w14:paraId="66F40355" w14:textId="1C035B9A" w:rsidR="0059404D" w:rsidRPr="00EF5D80" w:rsidRDefault="0059404D" w:rsidP="0042202B">
            <w:pPr>
              <w:rPr>
                <w:rFonts w:cstheme="minorHAnsi"/>
                <w:b/>
              </w:rPr>
            </w:pPr>
            <w:r w:rsidRPr="00EF5D80">
              <w:rPr>
                <w:rFonts w:cstheme="minorHAnsi"/>
                <w:b/>
              </w:rPr>
              <w:t>12</w:t>
            </w:r>
          </w:p>
        </w:tc>
        <w:tc>
          <w:tcPr>
            <w:tcW w:w="993" w:type="dxa"/>
          </w:tcPr>
          <w:p w14:paraId="3A30B1EA" w14:textId="66A8C405" w:rsidR="0059404D" w:rsidRPr="00EF5D80" w:rsidRDefault="0059404D" w:rsidP="0042202B">
            <w:pPr>
              <w:rPr>
                <w:rFonts w:cstheme="minorHAnsi"/>
                <w:b/>
              </w:rPr>
            </w:pPr>
            <w:r w:rsidRPr="00EF5D80">
              <w:rPr>
                <w:rFonts w:cstheme="minorHAnsi"/>
                <w:b/>
              </w:rPr>
              <w:t>RCL</w:t>
            </w:r>
          </w:p>
        </w:tc>
        <w:tc>
          <w:tcPr>
            <w:tcW w:w="1701" w:type="dxa"/>
          </w:tcPr>
          <w:p w14:paraId="79263645" w14:textId="28325866" w:rsidR="0059404D" w:rsidRPr="00EF5D80" w:rsidRDefault="0059404D" w:rsidP="0042202B">
            <w:pPr>
              <w:rPr>
                <w:rFonts w:cstheme="minorHAnsi"/>
                <w:b/>
              </w:rPr>
            </w:pPr>
            <w:r w:rsidRPr="00EF5D80">
              <w:rPr>
                <w:rFonts w:cstheme="minorHAnsi"/>
                <w:b/>
              </w:rPr>
              <w:t>Art. 68l ust. 22 UH</w:t>
            </w:r>
          </w:p>
        </w:tc>
        <w:tc>
          <w:tcPr>
            <w:tcW w:w="5953" w:type="dxa"/>
          </w:tcPr>
          <w:p w14:paraId="49FCF438" w14:textId="456F78C3" w:rsidR="0059404D" w:rsidRPr="00EF5D80" w:rsidRDefault="0059404D" w:rsidP="0042202B">
            <w:pPr>
              <w:widowControl w:val="0"/>
              <w:numPr>
                <w:ilvl w:val="0"/>
                <w:numId w:val="5"/>
              </w:numPr>
              <w:tabs>
                <w:tab w:val="left" w:pos="790"/>
              </w:tabs>
              <w:ind w:hanging="567"/>
              <w:rPr>
                <w:rFonts w:cstheme="minorHAnsi"/>
                <w:b/>
              </w:rPr>
            </w:pPr>
            <w:r w:rsidRPr="00EF5D80">
              <w:rPr>
                <w:rFonts w:cstheme="minorHAnsi"/>
                <w:b/>
              </w:rPr>
              <w:t xml:space="preserve">W art. 1 pkt 10 projektu zastrzeżenia budzi projektowane brzmienie art. 68l ust. 22 ustawy, zgodnie z którym do spraw związanych ze szkoleniem i egzaminowaniem diagnostów stosuje się przepisy wydane na podstawie art. 84a ust. 1 pkt 2 ustawy z dnia 20 czerwca 1997 r. - Prawo o ruchu drogowym. Powyższych przepisów w obecnym kształcie nie można zastosować, gdyż rozporządzenie Ministra Infrastruktury z dnia 28 listopada 2014 r. w sprawie szkolenia i egzaminowania diagnostów oraz wzorów dokumentów z tym związanych </w:t>
            </w:r>
            <w:r w:rsidRPr="00EF5D80">
              <w:rPr>
                <w:rFonts w:cstheme="minorHAnsi"/>
                <w:b/>
              </w:rPr>
              <w:lastRenderedPageBreak/>
              <w:t>wydane na podstawie ww. art. 84a ust. 1 pkt 2 dotyczy sposobu przeprowadzania egzaminu kwalifikacyjnego osób ubiegających się o wydanie uprawnienia do wykonywania badań technicznych, który przeprowadza komisja powołana przez Dyrektora TDT, a program szkolenia osób ubiegających się o uprawnienia diagnostów i diagnostów uzupełniających swoje uprawnienia w zakresie przeprowadzania badań technicznych pojazdów określony w tym rozporządzeniu nie zawiera szkolenia specjalistycznego w zakresie krajowego indywidualnego dopuszczenia pojazdu niebędącego nowym pojazdem, o którym mowa w projektowanym art. 68l ust. 1. Ponadto szkolenie, o którym mowa w projektowanym art. 68l ust. 1, mogą prowadzić, poza Dyrektorem TDT, Dyrektor Instytutu Transportu Samochodowego lub jednostki upoważnione przez Dyrektora TDT. W związku z powyższym regulacje dotyczące szkoleń i egzaminowania diagnostów wymagają analizy i odpowiedniej zmiany.</w:t>
            </w:r>
          </w:p>
        </w:tc>
        <w:tc>
          <w:tcPr>
            <w:tcW w:w="3827" w:type="dxa"/>
          </w:tcPr>
          <w:p w14:paraId="58871943" w14:textId="3FE0C73A" w:rsidR="0059404D" w:rsidRPr="00EF5D80" w:rsidRDefault="0059404D" w:rsidP="0042202B">
            <w:pPr>
              <w:rPr>
                <w:rFonts w:cstheme="minorHAnsi"/>
                <w:b/>
              </w:rPr>
            </w:pPr>
            <w:r w:rsidRPr="00EF5D80">
              <w:rPr>
                <w:rFonts w:cstheme="minorHAnsi"/>
                <w:b/>
              </w:rPr>
              <w:lastRenderedPageBreak/>
              <w:t xml:space="preserve">Uwaga uwzględniona – poprzez </w:t>
            </w:r>
            <w:r w:rsidRPr="006108BA">
              <w:rPr>
                <w:rFonts w:cstheme="minorHAnsi"/>
                <w:b/>
              </w:rPr>
              <w:t xml:space="preserve">dodanie delegacji </w:t>
            </w:r>
            <w:r>
              <w:rPr>
                <w:rFonts w:cstheme="minorHAnsi"/>
                <w:b/>
              </w:rPr>
              <w:t xml:space="preserve">art. 68r, aby </w:t>
            </w:r>
            <w:r w:rsidRPr="00EF5D80">
              <w:rPr>
                <w:rFonts w:cstheme="minorHAnsi"/>
                <w:b/>
              </w:rPr>
              <w:t>oddziel</w:t>
            </w:r>
            <w:r>
              <w:rPr>
                <w:rFonts w:cstheme="minorHAnsi"/>
                <w:b/>
              </w:rPr>
              <w:t xml:space="preserve">nie zostały </w:t>
            </w:r>
            <w:r w:rsidRPr="006108BA">
              <w:rPr>
                <w:rFonts w:cstheme="minorHAnsi"/>
                <w:b/>
              </w:rPr>
              <w:t>uregulowane przepis</w:t>
            </w:r>
            <w:r>
              <w:rPr>
                <w:rFonts w:cstheme="minorHAnsi"/>
                <w:b/>
              </w:rPr>
              <w:t xml:space="preserve">y </w:t>
            </w:r>
            <w:r w:rsidRPr="006108BA">
              <w:rPr>
                <w:rFonts w:cstheme="minorHAnsi"/>
                <w:b/>
              </w:rPr>
              <w:t xml:space="preserve">w zakresie szkolenia i egzaminowania w odniesieniu do procedury dopuszczenia indywidualnego realizowanej przez uprawnionego diagnostę w stacji </w:t>
            </w:r>
            <w:r w:rsidRPr="006108BA">
              <w:rPr>
                <w:rFonts w:cstheme="minorHAnsi"/>
                <w:b/>
              </w:rPr>
              <w:lastRenderedPageBreak/>
              <w:t>kontroli pojazdów i w tym zakresie</w:t>
            </w:r>
            <w:r>
              <w:rPr>
                <w:rFonts w:cstheme="minorHAnsi"/>
                <w:b/>
              </w:rPr>
              <w:t xml:space="preserve"> w art. 68r</w:t>
            </w:r>
            <w:r w:rsidRPr="006108BA">
              <w:rPr>
                <w:rFonts w:cstheme="minorHAnsi"/>
                <w:b/>
              </w:rPr>
              <w:t xml:space="preserve">.  </w:t>
            </w:r>
          </w:p>
        </w:tc>
        <w:tc>
          <w:tcPr>
            <w:tcW w:w="3686" w:type="dxa"/>
          </w:tcPr>
          <w:p w14:paraId="141B9A1D"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1D2C39B7"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0309E2B9" w14:textId="77777777" w:rsidR="007B6387" w:rsidRDefault="007B6387" w:rsidP="0042202B">
            <w:pPr>
              <w:rPr>
                <w:rFonts w:cstheme="minorHAnsi"/>
                <w:b/>
              </w:rPr>
            </w:pPr>
          </w:p>
          <w:p w14:paraId="2D4B7BD2"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3BE39014" w14:textId="44AEDABA" w:rsidR="007B6387" w:rsidRPr="00EF5D80" w:rsidRDefault="007B6387" w:rsidP="0042202B">
            <w:pPr>
              <w:rPr>
                <w:rFonts w:cstheme="minorHAnsi"/>
                <w:b/>
              </w:rPr>
            </w:pPr>
          </w:p>
        </w:tc>
      </w:tr>
      <w:tr w:rsidR="0059404D" w:rsidRPr="00F515D6" w14:paraId="439A61E3" w14:textId="241B18C6" w:rsidTr="00D76FE7">
        <w:tc>
          <w:tcPr>
            <w:tcW w:w="562" w:type="dxa"/>
          </w:tcPr>
          <w:p w14:paraId="3827D824" w14:textId="26F02275" w:rsidR="0059404D" w:rsidRPr="000206C8" w:rsidRDefault="0059404D" w:rsidP="0042202B">
            <w:pPr>
              <w:rPr>
                <w:rFonts w:cstheme="minorHAnsi"/>
                <w:b/>
              </w:rPr>
            </w:pPr>
            <w:r w:rsidRPr="000206C8">
              <w:rPr>
                <w:rFonts w:cstheme="minorHAnsi"/>
                <w:b/>
              </w:rPr>
              <w:t>13</w:t>
            </w:r>
          </w:p>
        </w:tc>
        <w:tc>
          <w:tcPr>
            <w:tcW w:w="993" w:type="dxa"/>
          </w:tcPr>
          <w:p w14:paraId="38205253" w14:textId="77777777" w:rsidR="0059404D" w:rsidRDefault="0059404D" w:rsidP="0042202B">
            <w:pPr>
              <w:rPr>
                <w:rFonts w:cstheme="minorHAnsi"/>
                <w:b/>
              </w:rPr>
            </w:pPr>
            <w:r w:rsidRPr="000206C8">
              <w:rPr>
                <w:rFonts w:cstheme="minorHAnsi"/>
                <w:b/>
              </w:rPr>
              <w:t>RCL</w:t>
            </w:r>
          </w:p>
          <w:p w14:paraId="12E212BA" w14:textId="77777777" w:rsidR="0059404D" w:rsidRDefault="0059404D" w:rsidP="0042202B">
            <w:pPr>
              <w:rPr>
                <w:rFonts w:cstheme="minorHAnsi"/>
                <w:b/>
                <w:color w:val="00B050"/>
              </w:rPr>
            </w:pPr>
            <w:bookmarkStart w:id="14" w:name="_Hlk227761895"/>
            <w:r>
              <w:rPr>
                <w:rFonts w:cstheme="minorHAnsi"/>
                <w:b/>
                <w:color w:val="00B050"/>
              </w:rPr>
              <w:t>+uwaga 34 MFiG (art. 68s ust. 1 pkt 4)</w:t>
            </w:r>
          </w:p>
          <w:p w14:paraId="3A5C924E" w14:textId="77777777" w:rsidR="0059404D" w:rsidRDefault="0059404D" w:rsidP="0042202B">
            <w:pPr>
              <w:rPr>
                <w:rFonts w:cstheme="minorHAnsi"/>
                <w:b/>
                <w:color w:val="00B050"/>
              </w:rPr>
            </w:pPr>
          </w:p>
          <w:p w14:paraId="4B0C9368" w14:textId="77777777" w:rsidR="0059404D" w:rsidRDefault="0059404D" w:rsidP="0042202B">
            <w:pPr>
              <w:rPr>
                <w:rFonts w:cstheme="minorHAnsi"/>
                <w:b/>
                <w:color w:val="00B050"/>
              </w:rPr>
            </w:pPr>
            <w:r>
              <w:rPr>
                <w:rFonts w:cstheme="minorHAnsi"/>
                <w:b/>
                <w:color w:val="00B050"/>
              </w:rPr>
              <w:t>+ uwaga 35 MFiG (art. 68s ust. 1 pkt 1)</w:t>
            </w:r>
          </w:p>
          <w:p w14:paraId="2F5CDABF" w14:textId="77777777" w:rsidR="0059404D" w:rsidRDefault="0059404D" w:rsidP="0042202B">
            <w:pPr>
              <w:rPr>
                <w:rFonts w:cstheme="minorHAnsi"/>
                <w:b/>
                <w:color w:val="00B050"/>
              </w:rPr>
            </w:pPr>
          </w:p>
          <w:p w14:paraId="23E20B8F" w14:textId="77777777" w:rsidR="0059404D" w:rsidRDefault="0059404D" w:rsidP="0042202B">
            <w:pPr>
              <w:rPr>
                <w:rFonts w:cstheme="minorHAnsi"/>
                <w:b/>
                <w:color w:val="00B050"/>
              </w:rPr>
            </w:pPr>
            <w:r>
              <w:rPr>
                <w:rFonts w:cstheme="minorHAnsi"/>
                <w:b/>
                <w:color w:val="00B050"/>
              </w:rPr>
              <w:t>+uwaga 59 MC (art. 68s ust. 1 pkt 16)</w:t>
            </w:r>
          </w:p>
          <w:bookmarkEnd w:id="14"/>
          <w:p w14:paraId="4BBABEFE" w14:textId="77777777" w:rsidR="0059404D" w:rsidRDefault="0059404D" w:rsidP="0042202B">
            <w:pPr>
              <w:rPr>
                <w:rFonts w:cstheme="minorHAnsi"/>
                <w:b/>
                <w:color w:val="00B050"/>
              </w:rPr>
            </w:pPr>
          </w:p>
          <w:p w14:paraId="6C2ABFED" w14:textId="4DCFF354" w:rsidR="0059404D" w:rsidRDefault="0059404D" w:rsidP="0042202B">
            <w:pPr>
              <w:rPr>
                <w:rFonts w:cstheme="minorHAnsi"/>
                <w:b/>
                <w:color w:val="00B050"/>
              </w:rPr>
            </w:pPr>
            <w:bookmarkStart w:id="15" w:name="_Hlk227761915"/>
            <w:r>
              <w:rPr>
                <w:rFonts w:cstheme="minorHAnsi"/>
                <w:b/>
                <w:color w:val="00B050"/>
              </w:rPr>
              <w:t>+uwaga 86 MC (art. 68s ust. 1 pkt 18)</w:t>
            </w:r>
          </w:p>
          <w:p w14:paraId="62F12454" w14:textId="77777777" w:rsidR="0059404D" w:rsidRDefault="0059404D" w:rsidP="0042202B">
            <w:pPr>
              <w:rPr>
                <w:rFonts w:cstheme="minorHAnsi"/>
                <w:b/>
                <w:color w:val="00B050"/>
              </w:rPr>
            </w:pPr>
          </w:p>
          <w:p w14:paraId="3F053B8E" w14:textId="1EA2E655" w:rsidR="0059404D" w:rsidRDefault="0059404D" w:rsidP="0042202B">
            <w:pPr>
              <w:rPr>
                <w:rFonts w:cstheme="minorHAnsi"/>
                <w:b/>
                <w:color w:val="00B050"/>
              </w:rPr>
            </w:pPr>
            <w:r>
              <w:rPr>
                <w:rFonts w:cstheme="minorHAnsi"/>
                <w:b/>
                <w:color w:val="00B050"/>
              </w:rPr>
              <w:t>+uwaga 88 MC (art. 68s ust. 1 pkt 20)</w:t>
            </w:r>
          </w:p>
          <w:bookmarkEnd w:id="15"/>
          <w:p w14:paraId="2937069B" w14:textId="77777777" w:rsidR="0059404D" w:rsidRDefault="0059404D" w:rsidP="0042202B">
            <w:pPr>
              <w:rPr>
                <w:rFonts w:cstheme="minorHAnsi"/>
                <w:b/>
                <w:color w:val="00B050"/>
              </w:rPr>
            </w:pPr>
          </w:p>
          <w:p w14:paraId="6B9BC06E" w14:textId="3F11CCED" w:rsidR="0059404D" w:rsidRPr="00FA136C" w:rsidRDefault="0059404D" w:rsidP="0042202B">
            <w:pPr>
              <w:rPr>
                <w:rFonts w:cstheme="minorHAnsi"/>
                <w:b/>
                <w:color w:val="00B050"/>
              </w:rPr>
            </w:pPr>
          </w:p>
        </w:tc>
        <w:tc>
          <w:tcPr>
            <w:tcW w:w="1701" w:type="dxa"/>
          </w:tcPr>
          <w:p w14:paraId="5132369E" w14:textId="168CBD7C" w:rsidR="0059404D" w:rsidRPr="000206C8" w:rsidRDefault="0059404D" w:rsidP="0042202B">
            <w:pPr>
              <w:rPr>
                <w:rFonts w:cstheme="minorHAnsi"/>
                <w:b/>
              </w:rPr>
            </w:pPr>
            <w:r w:rsidRPr="000206C8">
              <w:rPr>
                <w:rFonts w:cstheme="minorHAnsi"/>
                <w:b/>
              </w:rPr>
              <w:lastRenderedPageBreak/>
              <w:t>Art. 68s ust. 1 UH</w:t>
            </w:r>
          </w:p>
        </w:tc>
        <w:tc>
          <w:tcPr>
            <w:tcW w:w="5953" w:type="dxa"/>
          </w:tcPr>
          <w:p w14:paraId="61601A6D" w14:textId="77777777" w:rsidR="0059404D" w:rsidRPr="000206C8" w:rsidRDefault="0059404D" w:rsidP="0042202B">
            <w:pPr>
              <w:widowControl w:val="0"/>
              <w:numPr>
                <w:ilvl w:val="0"/>
                <w:numId w:val="5"/>
              </w:numPr>
              <w:tabs>
                <w:tab w:val="left" w:pos="790"/>
              </w:tabs>
              <w:ind w:hanging="567"/>
              <w:rPr>
                <w:rFonts w:cstheme="minorHAnsi"/>
                <w:b/>
              </w:rPr>
            </w:pPr>
            <w:r w:rsidRPr="000206C8">
              <w:rPr>
                <w:rFonts w:cstheme="minorHAnsi"/>
                <w:b/>
              </w:rPr>
              <w:t>W art. 1 pkt 10 projektu w art. 68s ust. 1 ustawy, który określa uprawnienia Dyrektora TDT jako organu nadzoru rynku:</w:t>
            </w:r>
          </w:p>
          <w:p w14:paraId="3EE2BEA9" w14:textId="636EE60C" w:rsidR="0059404D" w:rsidRPr="000206C8" w:rsidRDefault="0059404D" w:rsidP="0042202B">
            <w:pPr>
              <w:widowControl w:val="0"/>
              <w:numPr>
                <w:ilvl w:val="0"/>
                <w:numId w:val="6"/>
              </w:numPr>
              <w:tabs>
                <w:tab w:val="left" w:pos="1150"/>
              </w:tabs>
              <w:ind w:hanging="400"/>
              <w:rPr>
                <w:rFonts w:cstheme="minorHAnsi"/>
                <w:b/>
              </w:rPr>
            </w:pPr>
            <w:r w:rsidRPr="000206C8">
              <w:rPr>
                <w:rFonts w:cstheme="minorHAnsi"/>
                <w:b/>
              </w:rPr>
              <w:t xml:space="preserve">1) zastrzeżenia budzi proponowany pkt 4, który wskazuje na przeprowadzanie kontroli pojazdów, przedmiotów wyposażenia lub części z wyłączeniem stosowania przy tej kontroli wskazanych przepisów ustawy z dnia 6 marca 2018 r. - Prawo przedsiębiorców; RCL zauważa, że wprowadzenie takiego wyłączenia wymaga co najmniej podania szczegółowego wyjaśnienia, a jednocześnie takie wyłączenie powinno zostać określone w przepisach materialnych regulujących ww. kontrolę, a nie w przepisie kompetencyjnym określającym uprawnienia Dyrektora TDT; ponadto wyłączenie </w:t>
            </w:r>
            <w:r w:rsidRPr="000206C8">
              <w:rPr>
                <w:rFonts w:cstheme="minorHAnsi"/>
                <w:b/>
              </w:rPr>
              <w:lastRenderedPageBreak/>
              <w:t>proponowane w tym przepisie w zakresie art. 51 jest niespójne z wyłączeniem proponowanym w art. 68zi ust. 2, który wyłącza stosowanie art. 51 ust. 3a ww. ustawy w przypadku przeprowadzania przez Dyrektora TDT kontroli pojazdów, przedmiotów wyposażenia oraz części oferowanych do sprzedaży na odległość lub wykonywania przez niego poszczególnych czynności kontrolnych w sposób zdalny;</w:t>
            </w:r>
          </w:p>
          <w:p w14:paraId="1BB924ED" w14:textId="37C6B359" w:rsidR="0059404D" w:rsidRPr="000206C8" w:rsidRDefault="0059404D" w:rsidP="0042202B">
            <w:pPr>
              <w:widowControl w:val="0"/>
              <w:numPr>
                <w:ilvl w:val="0"/>
                <w:numId w:val="6"/>
              </w:numPr>
              <w:tabs>
                <w:tab w:val="left" w:pos="1150"/>
              </w:tabs>
              <w:ind w:hanging="400"/>
              <w:rPr>
                <w:rFonts w:cstheme="minorHAnsi"/>
                <w:b/>
              </w:rPr>
            </w:pPr>
            <w:r w:rsidRPr="000206C8">
              <w:rPr>
                <w:rFonts w:cstheme="minorHAnsi"/>
                <w:b/>
              </w:rPr>
              <w:t xml:space="preserve">2) wątpliwości budzi uprawnienie Dyrektora TDT </w:t>
            </w:r>
            <w:r w:rsidRPr="000206C8">
              <w:rPr>
                <w:rStyle w:val="Teksttreci20"/>
                <w:rFonts w:asciiTheme="minorHAnsi" w:eastAsiaTheme="minorHAnsi" w:hAnsiTheme="minorHAnsi" w:cstheme="minorHAnsi"/>
                <w:b/>
                <w:sz w:val="22"/>
                <w:szCs w:val="22"/>
                <w:u w:val="none"/>
              </w:rPr>
              <w:t>do określania, w drodze obwieszczenia</w:t>
            </w:r>
            <w:r w:rsidRPr="000206C8">
              <w:rPr>
                <w:rFonts w:cstheme="minorHAnsi"/>
                <w:b/>
              </w:rPr>
              <w:t xml:space="preserve"> (pkt 15) m.in. wymagań kompetencyjnych dotyczących kwalifikowania laboratoriów badawczych w zakresie nadzoru rynku czy procedur nadzoru nad przeprowadzanymi badaniami; nie jest jasne, o jakie obwieszczenia chodzi i gdzie będą one publikowane, a także jaki charakter będą miały te akty i do kogo miałyby być skierowane; kwestie te wymagają co najmniej wyjaśnienia;</w:t>
            </w:r>
          </w:p>
          <w:p w14:paraId="28CA4F2C" w14:textId="1D693E7D" w:rsidR="0059404D" w:rsidRPr="000206C8" w:rsidRDefault="0059404D" w:rsidP="0042202B">
            <w:pPr>
              <w:widowControl w:val="0"/>
              <w:numPr>
                <w:ilvl w:val="0"/>
                <w:numId w:val="6"/>
              </w:numPr>
              <w:tabs>
                <w:tab w:val="left" w:pos="1158"/>
              </w:tabs>
              <w:ind w:hanging="403"/>
              <w:rPr>
                <w:rFonts w:cstheme="minorHAnsi"/>
                <w:b/>
              </w:rPr>
            </w:pPr>
            <w:r w:rsidRPr="000206C8">
              <w:rPr>
                <w:rFonts w:cstheme="minorHAnsi"/>
                <w:b/>
              </w:rPr>
              <w:t>3) wyjaśnienia i doprecyzowania wymaga treść pkt 16, zgodnie z którym Dyrektor TDT w ramach nadzoru rynku jest uprawniony do przekazywania do centralnej ewidencji pojazdów informacji o pojazdach, w odniesieniu do których istnieje „podejrzenie niespełniania wymagań, które nie spełniają wymagań lub stwarzają ryzyko”; proponowany przepis jest niejasny;</w:t>
            </w:r>
          </w:p>
          <w:p w14:paraId="744C11DD" w14:textId="2B1BC15F" w:rsidR="0059404D" w:rsidRPr="000206C8" w:rsidRDefault="0059404D" w:rsidP="0042202B">
            <w:pPr>
              <w:widowControl w:val="0"/>
              <w:numPr>
                <w:ilvl w:val="0"/>
                <w:numId w:val="6"/>
              </w:numPr>
              <w:tabs>
                <w:tab w:val="left" w:pos="1158"/>
              </w:tabs>
              <w:ind w:hanging="400"/>
              <w:rPr>
                <w:rFonts w:cstheme="minorHAnsi"/>
                <w:b/>
              </w:rPr>
            </w:pPr>
            <w:r w:rsidRPr="000206C8">
              <w:rPr>
                <w:rFonts w:cstheme="minorHAnsi"/>
                <w:b/>
              </w:rPr>
              <w:t xml:space="preserve">4) wyjaśnienia oraz ewentualnie doprecyzowania wymaga uprawnienie Dyrektora TDT wskazane w pkt 17 polegające na przedstawianiu stanowiska w związku z art. 63 Kodeksu postępowania cywilnego; ww. art. 63 Kpc stanowi, że organizacje pozarządowe wymienione w artykułach poprzedzających, które nie uczestniczą w sprawie, mogą przedstawiać sądowi istotny dla sprawy pogląd wyrażony w </w:t>
            </w:r>
            <w:r w:rsidRPr="000206C8">
              <w:rPr>
                <w:rFonts w:cstheme="minorHAnsi"/>
                <w:b/>
              </w:rPr>
              <w:lastRenderedPageBreak/>
              <w:t>uchwale lub w oświadczeniu ich należycie umocowanych organów; w tym kontekście nie jest zrozumiałe, o jakim uprawnieniu Dyrektora TDT jest mowa w projektowanym pkt 17.</w:t>
            </w:r>
          </w:p>
          <w:p w14:paraId="0E663294" w14:textId="77777777" w:rsidR="0059404D" w:rsidRPr="000206C8" w:rsidRDefault="0059404D" w:rsidP="0042202B">
            <w:pPr>
              <w:autoSpaceDE w:val="0"/>
              <w:autoSpaceDN w:val="0"/>
              <w:adjustRightInd w:val="0"/>
              <w:rPr>
                <w:rFonts w:cstheme="minorHAnsi"/>
                <w:b/>
              </w:rPr>
            </w:pPr>
          </w:p>
        </w:tc>
        <w:tc>
          <w:tcPr>
            <w:tcW w:w="3827" w:type="dxa"/>
          </w:tcPr>
          <w:p w14:paraId="35500677" w14:textId="78FDAAD7" w:rsidR="0059404D" w:rsidRDefault="0059404D" w:rsidP="0042202B">
            <w:pPr>
              <w:rPr>
                <w:rFonts w:cstheme="minorHAnsi"/>
                <w:b/>
              </w:rPr>
            </w:pPr>
            <w:r w:rsidRPr="000206C8">
              <w:rPr>
                <w:rFonts w:cstheme="minorHAnsi"/>
                <w:b/>
              </w:rPr>
              <w:lastRenderedPageBreak/>
              <w:t>1)</w:t>
            </w:r>
            <w:r>
              <w:rPr>
                <w:rFonts w:cstheme="minorHAnsi"/>
                <w:b/>
              </w:rPr>
              <w:t xml:space="preserve"> u</w:t>
            </w:r>
            <w:r w:rsidRPr="000206C8">
              <w:rPr>
                <w:rFonts w:cstheme="minorHAnsi"/>
                <w:b/>
              </w:rPr>
              <w:t>waga wyjaśniona –</w:t>
            </w:r>
            <w:r>
              <w:rPr>
                <w:rFonts w:cstheme="minorHAnsi"/>
                <w:b/>
              </w:rPr>
              <w:t xml:space="preserve"> </w:t>
            </w:r>
            <w:r w:rsidRPr="000206C8">
              <w:rPr>
                <w:rFonts w:cstheme="minorHAnsi"/>
                <w:b/>
              </w:rPr>
              <w:t>wyjaśnienie przyczyn wyłączenia przepisów Prawa przedsiębiorców</w:t>
            </w:r>
            <w:r>
              <w:rPr>
                <w:rFonts w:cstheme="minorHAnsi"/>
                <w:b/>
              </w:rPr>
              <w:t xml:space="preserve"> w uzasadnieniu zgodnie z poniższym:</w:t>
            </w:r>
          </w:p>
          <w:p w14:paraId="71DF5E15" w14:textId="77777777" w:rsidR="0059404D" w:rsidRDefault="0059404D" w:rsidP="0042202B">
            <w:pPr>
              <w:rPr>
                <w:rFonts w:cstheme="minorHAnsi"/>
                <w:b/>
              </w:rPr>
            </w:pPr>
          </w:p>
          <w:p w14:paraId="604F4909" w14:textId="28CE5D66" w:rsidR="0059404D"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260403">
              <w:rPr>
                <w:rFonts w:asciiTheme="minorHAnsi" w:eastAsiaTheme="minorHAnsi" w:hAnsiTheme="minorHAnsi" w:cstheme="minorHAnsi"/>
                <w:b/>
                <w:i/>
                <w:sz w:val="22"/>
                <w:szCs w:val="22"/>
                <w:lang w:eastAsia="en-US"/>
              </w:rPr>
              <w:t>Art. 68 w ust. 2. Kontrola pojazdów, przedmiotów wyposażenia lub części, o której mowa w ust. 1, przeprowadzana jest z wyłączeniem czynności określonych w art. 47–51, art. 54-59 ustawy z dnia 6 marca 2018 r. – Prawo przedsiębiorców.</w:t>
            </w:r>
            <w:r>
              <w:rPr>
                <w:rFonts w:asciiTheme="minorHAnsi" w:eastAsiaTheme="minorHAnsi" w:hAnsiTheme="minorHAnsi" w:cstheme="minorHAnsi"/>
                <w:b/>
                <w:i/>
                <w:sz w:val="22"/>
                <w:szCs w:val="22"/>
                <w:lang w:eastAsia="en-US"/>
              </w:rPr>
              <w:t>”</w:t>
            </w:r>
          </w:p>
          <w:p w14:paraId="0FE1D02C" w14:textId="77777777" w:rsidR="0059404D" w:rsidRPr="00260403"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p>
          <w:p w14:paraId="15D1565F" w14:textId="49183313" w:rsidR="0059404D" w:rsidRPr="00CA208A" w:rsidRDefault="0059404D" w:rsidP="0042202B">
            <w:pPr>
              <w:rPr>
                <w:rFonts w:cstheme="minorHAnsi"/>
                <w:b/>
              </w:rPr>
            </w:pPr>
            <w:r w:rsidRPr="00CA208A">
              <w:rPr>
                <w:rFonts w:cstheme="minorHAnsi"/>
                <w:b/>
              </w:rPr>
              <w:t>Wyłączenie stosowania art. 47–5</w:t>
            </w:r>
            <w:r>
              <w:rPr>
                <w:rFonts w:cstheme="minorHAnsi"/>
                <w:b/>
              </w:rPr>
              <w:t xml:space="preserve">1 i art. 54-59 </w:t>
            </w:r>
            <w:r w:rsidRPr="00CA208A">
              <w:rPr>
                <w:rFonts w:cstheme="minorHAnsi"/>
                <w:b/>
              </w:rPr>
              <w:t>ustawy z dnia 6 marca 2018 r. – Prawo przedsiębiorców wynika z art. 45 ust. 1 tej ustawy, zgodnie z którym przepisy dotyczące zasad i trybu kontroli działalności gospodarczej nie mają zastosowania, jeżeli zasady te wynikają z bezpośrednio stosowanych przepisów prawa Unii Europejskiej.</w:t>
            </w:r>
          </w:p>
          <w:p w14:paraId="1AEB467E" w14:textId="10A330AC" w:rsidR="0059404D" w:rsidRPr="00CA208A"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CA208A">
              <w:rPr>
                <w:rFonts w:asciiTheme="minorHAnsi" w:eastAsiaTheme="minorHAnsi" w:hAnsiTheme="minorHAnsi" w:cstheme="minorHAnsi"/>
                <w:b/>
                <w:sz w:val="22"/>
                <w:szCs w:val="22"/>
                <w:lang w:eastAsia="en-US"/>
              </w:rPr>
              <w:t xml:space="preserve">Kontrole prowadzone przez Dyrektora </w:t>
            </w:r>
            <w:r>
              <w:rPr>
                <w:rFonts w:asciiTheme="minorHAnsi" w:eastAsiaTheme="minorHAnsi" w:hAnsiTheme="minorHAnsi" w:cstheme="minorHAnsi"/>
                <w:b/>
                <w:sz w:val="22"/>
                <w:szCs w:val="22"/>
                <w:lang w:eastAsia="en-US"/>
              </w:rPr>
              <w:t>TDT</w:t>
            </w:r>
            <w:r w:rsidRPr="00CA208A">
              <w:rPr>
                <w:rFonts w:asciiTheme="minorHAnsi" w:eastAsiaTheme="minorHAnsi" w:hAnsiTheme="minorHAnsi" w:cstheme="minorHAnsi"/>
                <w:b/>
                <w:sz w:val="22"/>
                <w:szCs w:val="22"/>
                <w:lang w:eastAsia="en-US"/>
              </w:rPr>
              <w:t xml:space="preserve"> w ramach nadzoru rynku stanowią realizację obowiązków państwa członkowskiego wynikających z rozporządzenia (UE) 2019/1020 oraz rozporządzeń sektorowych, w szczególności rozporządzenia (UE) 2018/858, rozporządzenia (UE) 167/2013 i rozporządzenia (UE) 168/2013. Rozporządzenia te ustanawiają autonomiczny model kontroli, obejmujący m.in. możliwość prowadzenia kontroli niezapowiedzianych, pobierania próbek, działań pod ukrytą tożsamością oraz natychmiastowego podejmowania środków w przypadku stwierdzenia poważnego ryzyka.</w:t>
            </w:r>
          </w:p>
          <w:p w14:paraId="725C0B81" w14:textId="77777777" w:rsidR="0059404D"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CA208A">
              <w:rPr>
                <w:rFonts w:asciiTheme="minorHAnsi" w:eastAsiaTheme="minorHAnsi" w:hAnsiTheme="minorHAnsi" w:cstheme="minorHAnsi"/>
                <w:b/>
                <w:sz w:val="22"/>
                <w:szCs w:val="22"/>
                <w:lang w:eastAsia="en-US"/>
              </w:rPr>
              <w:lastRenderedPageBreak/>
              <w:t xml:space="preserve">Stosowanie krajowych ograniczeń dotyczących kontroli działalności gospodarczej, takich jak obowiązek uprzedniego zawiadomienia, limity czasu trwania kontroli, zakaz równoległych kontroli czy instytucja sprzeciwu, byłoby sprzeczne z prawem Unii Europejskiej i uniemożliwiałoby skuteczne wykonywanie obowiązków nadzorczych. </w:t>
            </w:r>
          </w:p>
          <w:p w14:paraId="08B62617" w14:textId="77777777" w:rsidR="0059404D"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Dlatego </w:t>
            </w:r>
            <w:bookmarkStart w:id="16" w:name="_Hlk221804005"/>
            <w:r w:rsidRPr="00260403">
              <w:rPr>
                <w:rFonts w:asciiTheme="minorHAnsi" w:eastAsiaTheme="minorHAnsi" w:hAnsiTheme="minorHAnsi" w:cstheme="minorHAnsi"/>
                <w:b/>
                <w:sz w:val="22"/>
                <w:szCs w:val="22"/>
                <w:lang w:eastAsia="en-US"/>
              </w:rPr>
              <w:t xml:space="preserve">w art. 68s ust. 1 pkt 4 zrezygnowano z wyłączenia przepisów ustawy z dnia 6 marca 2018 r. Prawo przedsiębiorców. zaproponowano, a zaproponowano w art. 68w wyłączenie zastosowania przepisów art. 47–51, art. 54-59 tej ustawy. </w:t>
            </w:r>
          </w:p>
          <w:p w14:paraId="35C4A529" w14:textId="77777777" w:rsidR="0059404D"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Zastosowanie tych wyłączeń jest szczególnie istotne, aby umożliwić efektywne wykonywanie kontroli. </w:t>
            </w:r>
          </w:p>
          <w:p w14:paraId="23D01352" w14:textId="45219E59" w:rsidR="0059404D" w:rsidRPr="00260403" w:rsidRDefault="0059404D" w:rsidP="0042202B">
            <w:pPr>
              <w:pStyle w:val="NormalnyWeb"/>
              <w:spacing w:before="0" w:beforeAutospacing="0" w:after="120" w:afterAutospacing="0"/>
              <w:rPr>
                <w:rFonts w:cstheme="minorHAnsi"/>
                <w:b/>
              </w:rPr>
            </w:pPr>
            <w:r w:rsidRPr="00260403">
              <w:rPr>
                <w:rFonts w:asciiTheme="minorHAnsi" w:eastAsiaTheme="minorHAnsi" w:hAnsiTheme="minorHAnsi" w:cstheme="minorHAnsi"/>
                <w:b/>
                <w:sz w:val="22"/>
                <w:szCs w:val="22"/>
                <w:lang w:eastAsia="en-US"/>
              </w:rPr>
              <w:t xml:space="preserve">Mając na uwadze doświadczenia innych organów, gdzie kontrolujący podnoszą, że kontrole po zawiadomieniu nie dają efektów i nie wykazują naruszeń, bo przedsiębiorca został uprzedzony o kontroli i się do niej przygotował, zdecydowano o </w:t>
            </w:r>
            <w:r w:rsidRPr="00260403">
              <w:rPr>
                <w:rFonts w:asciiTheme="minorHAnsi" w:eastAsiaTheme="minorHAnsi" w:hAnsiTheme="minorHAnsi" w:cstheme="minorHAnsi"/>
                <w:b/>
                <w:sz w:val="22"/>
                <w:szCs w:val="22"/>
                <w:lang w:eastAsia="en-US"/>
              </w:rPr>
              <w:lastRenderedPageBreak/>
              <w:t xml:space="preserve">wyłączeniu powyższych przepisów prawa przedsiębiorców. </w:t>
            </w:r>
          </w:p>
          <w:p w14:paraId="139A454F" w14:textId="77777777" w:rsidR="0059404D" w:rsidRPr="00260403" w:rsidRDefault="0059404D" w:rsidP="0042202B">
            <w:pPr>
              <w:pStyle w:val="ZARTzmartartykuempunktem"/>
              <w:spacing w:line="240" w:lineRule="auto"/>
              <w:ind w:left="0" w:firstLine="0"/>
              <w:jc w:val="left"/>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W przypadku kontroli pojazdów, przedmiotów wyposażenia i części, które będzie wykonywał Dyrektor TDT ważne jest, by kontrolowany przygotowując się do kontroli nie usunął z asortymentu na czas kontroli tych produktów, które są niezgodne z warunkami technicznymi, tj. nie posiadają stosownych dokumentów homologacyjnych lub nie są zgodne z innymi wymogami technicznymi (czego przykładem mogą być hulajnogi elektryczne oraz inne urządzenia transportu osobistego) lub mogą stwarzać poważne ryzyko. </w:t>
            </w:r>
          </w:p>
          <w:p w14:paraId="5A713732" w14:textId="77777777" w:rsidR="0059404D" w:rsidRPr="00260403" w:rsidRDefault="0059404D" w:rsidP="0042202B">
            <w:pPr>
              <w:pStyle w:val="ZARTzmartartykuempunktem"/>
              <w:spacing w:line="240" w:lineRule="auto"/>
              <w:ind w:left="0" w:firstLine="0"/>
              <w:jc w:val="left"/>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Wartością nadrzędną jest bezpieczeństwo na drogach publicznych, a także ochrona życia i zdrowia użytkowników końcowych oraz ochrona środowiska. </w:t>
            </w:r>
          </w:p>
          <w:p w14:paraId="73C7A464" w14:textId="445F4F12" w:rsidR="0059404D" w:rsidRPr="00260403"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260403">
              <w:rPr>
                <w:rFonts w:asciiTheme="minorHAnsi" w:eastAsiaTheme="minorHAnsi" w:hAnsiTheme="minorHAnsi" w:cstheme="minorHAnsi"/>
                <w:b/>
                <w:sz w:val="22"/>
                <w:szCs w:val="22"/>
                <w:lang w:eastAsia="en-US"/>
              </w:rPr>
              <w:t xml:space="preserve">Przy projektowaniu przepisów, na podstawie których będzie działał Dyrektor TDT jako organ nadzoru rynku zwrócono szczególną uwagę by jego działania w zakresie kontroli nie były iluzoryczne, a także by nadzór rynku spełniał cele określone w art. 1 ust. 1 </w:t>
            </w:r>
            <w:r w:rsidRPr="00260403">
              <w:rPr>
                <w:rFonts w:asciiTheme="minorHAnsi" w:eastAsiaTheme="minorHAnsi" w:hAnsiTheme="minorHAnsi" w:cstheme="minorHAnsi"/>
                <w:b/>
                <w:sz w:val="22"/>
                <w:szCs w:val="22"/>
                <w:lang w:eastAsia="en-US"/>
              </w:rPr>
              <w:lastRenderedPageBreak/>
              <w:t xml:space="preserve">rozporządzenia 2019/1020 tj. </w:t>
            </w:r>
            <w:r w:rsidRPr="00260403">
              <w:rPr>
                <w:rFonts w:asciiTheme="minorHAnsi" w:eastAsiaTheme="minorHAnsi" w:hAnsiTheme="minorHAnsi" w:cstheme="minorHAnsi"/>
                <w:b/>
                <w:i/>
                <w:sz w:val="22"/>
                <w:szCs w:val="22"/>
                <w:lang w:eastAsia="en-US"/>
              </w:rPr>
              <w:t>„Celem niniejszego rozporządzenia jest poprawa funkcjonowania rynku wewnętrznego poprzez wzmocnienie nadzoru rynku produktów objętych unijnym prawodawstwem harmonizacyjnym, o których mowa w art. 2, w celu zapewnienia, aby na rynku unijnym udostępniane były wyłącznie produkty spełniające wymagania zapewniające wysoki poziom ochrony interesów publicznych, takich jak zdrowie i bezpieczeństwo w ujęciu ogólnym, zdrowie i bezpieczeństwo w miejscu pracy, ochrona konsumentów, ochrona środowiska oraz bezpieczeństwa publicznego i każdego innego interesu publicznego chronionego tym prawodawstwem.”</w:t>
            </w:r>
          </w:p>
          <w:p w14:paraId="3F9B77C4" w14:textId="77777777" w:rsidR="0059404D"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Wynikające z ww. ustawy – Prawo przedsiębiorców, przypadki prowadzenia kontroli bez zawiadomienia, w przypadku kontroli przestrzegania przepisów z zakresu rozporządzeń homologacyjnych, nie zawsze będą mogły być zastosowane, gdyż trudno jest wykazać, że zachodzi jeden z tych przypadków przed </w:t>
            </w:r>
            <w:r w:rsidRPr="00260403">
              <w:rPr>
                <w:rFonts w:asciiTheme="minorHAnsi" w:hAnsiTheme="minorHAnsi" w:cstheme="minorHAnsi"/>
                <w:b/>
                <w:sz w:val="22"/>
                <w:szCs w:val="22"/>
                <w:lang w:eastAsia="en-US"/>
              </w:rPr>
              <w:lastRenderedPageBreak/>
              <w:t xml:space="preserve">przeprowadzeniem kontroli (np. przesłanka zagrożenie życia lub zdrowia ludzi). Pojazd, przedmiot wyposażenia lub część może być niezgodna z wymaganiami technicznymi, co nie zawsze oznacza, że stwarza poważne ryzyko. W niektórych przypadkach pojazd, przedmiot wyposażenia i część może nie posiadać odpowiedniej dokumentacji, (a co za tym idzie nie powinien być dopuszczony do obrotu), ale nie stwarza poważnego ryzyka. </w:t>
            </w:r>
          </w:p>
          <w:p w14:paraId="4F51425A" w14:textId="5400D941" w:rsidR="0059404D" w:rsidRPr="00260403"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Ustawodawca chce uniknąć sytuacji, gdy przedsiębiorca podczas kontroli Dyrektora TDT działającego jako organ nadzoru rynku wykaże jedynie pojazdy, przedmioty wyposażenia lub części, co do których nie ma wątpliwości, że spełniają wymagania techniczne i nie stwarzają poważnego ryzyka, natomiast po kontroli ponownie będzie mógł udostępniać te produkty co do których istnieją wątpliwości co do ich jakości, spełniania wymagań technicznych czy stwarzania poważnego ryzyka. </w:t>
            </w:r>
          </w:p>
          <w:p w14:paraId="3A442E56" w14:textId="77777777" w:rsidR="0059404D" w:rsidRPr="00260403"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Projekt ustawy zakłada również wprowadzenie wyjątku od ogólnie </w:t>
            </w:r>
            <w:r w:rsidRPr="00260403">
              <w:rPr>
                <w:rFonts w:asciiTheme="minorHAnsi" w:hAnsiTheme="minorHAnsi" w:cstheme="minorHAnsi"/>
                <w:b/>
                <w:sz w:val="22"/>
                <w:szCs w:val="22"/>
                <w:lang w:eastAsia="en-US"/>
              </w:rPr>
              <w:lastRenderedPageBreak/>
              <w:t xml:space="preserve">obowiązującej zasady dotyczącej prowadzenia tylko jednej kontroli w tym samym czasie. Prowadzenie bowiem kontroli bez zawiadomienia nie odniesie w rzeczywistości oczekiwanego skutku, jeżeli Dyrektor TDT będzie musiał czekać na przeprowadzenie kontroli w przypadku gdy inny organ będzie prowadzić kontrolę na podstawie własnych przepisów. Dodatkowo Dyrektor TDT nie może być związany faktem wyczerpania limitu czasowego wykonywania kontroli u przedsiębiorcy przez inne organy. </w:t>
            </w:r>
          </w:p>
          <w:p w14:paraId="799269BB" w14:textId="0BA036E6" w:rsidR="0059404D"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W takich przypadkach zastosowanie art. 54, 55 i 58 ustawy – Prawo przedsiębiorców uniemożliwi przeprowadzenie kontroli u przedsiębiorcy. </w:t>
            </w:r>
          </w:p>
          <w:p w14:paraId="1C66DE50" w14:textId="77777777" w:rsidR="0059404D" w:rsidRPr="00260403" w:rsidRDefault="0059404D" w:rsidP="0042202B">
            <w:pPr>
              <w:pStyle w:val="USTustnpkodeksu"/>
              <w:spacing w:line="240" w:lineRule="auto"/>
              <w:ind w:firstLine="0"/>
              <w:jc w:val="left"/>
              <w:rPr>
                <w:rFonts w:asciiTheme="minorHAnsi" w:hAnsiTheme="minorHAnsi" w:cstheme="minorHAnsi"/>
                <w:b/>
                <w:sz w:val="22"/>
                <w:szCs w:val="22"/>
                <w:lang w:eastAsia="en-US"/>
              </w:rPr>
            </w:pPr>
          </w:p>
          <w:p w14:paraId="08E1FFBE" w14:textId="316B64DA"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Ustawa z dnia 6 marca 2018 r. – Prawo przedsiębiorców a projekt UC95</w:t>
            </w:r>
            <w:r>
              <w:rPr>
                <w:rFonts w:cstheme="minorHAnsi"/>
                <w:b/>
                <w:kern w:val="0"/>
                <w:sz w:val="22"/>
                <w:szCs w:val="22"/>
                <w14:ligatures w14:val="none"/>
              </w:rPr>
              <w:t>:</w:t>
            </w:r>
          </w:p>
          <w:p w14:paraId="611CBFC3"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47, który dotyczy analizy prawdopodobieństwa naruszenia prawa, jego odpowiednik w UC95 zawarty został w art. 68s ust. 6 oraz art. 68w ust. 1 pkt. 1 – 3.</w:t>
            </w:r>
          </w:p>
          <w:p w14:paraId="26F58E55"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lastRenderedPageBreak/>
              <w:t>Art. 48, który dotyczy zawiadomienia o zamiarze wszczęcia kontroli oraz uprzednich czynności kontrolnych, jego odpowiednik w UC95 znajduje się w art. 68x ust. 3 oraz art. 68v i art. 68ze.</w:t>
            </w:r>
          </w:p>
          <w:p w14:paraId="35621B56"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49, który dotyczy upoważnienia do przeprowadzenia kontroli, jego odpowiednik w UC95 znajduje się w art. 68x ust. 3 i 4.</w:t>
            </w:r>
          </w:p>
          <w:p w14:paraId="0FBF7E86"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50, który dotyczy obecności przedsiębiorcy lub jego przedstawiciela podczas wykonywania czynności kontrolnych, jego odpowiednik w UC95 znajduje się w art. 68y ust. 3</w:t>
            </w:r>
          </w:p>
          <w:p w14:paraId="40658AB6" w14:textId="1C0EBF3E"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51, który dotyczy miejsca przeprowadzenia kontroli oraz kontrola zdalna, jego odpowiednik w UC95 znajduje się w art. 68y. Przepisy nie przewidują przeprowadzania kontroli zdalnej z uwagi na fakt tej niedopuszczalności wynikający z art. 11 ust. 3 rozporządzenia 2019/1020, w którym wskazano formy kontroli.</w:t>
            </w:r>
          </w:p>
          <w:p w14:paraId="12872C28"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54, który dotyczy prowadzenia więcej niż jednej kontroli, jego odpowiednik w UC95 znajduje się w art. 68x.</w:t>
            </w:r>
          </w:p>
          <w:p w14:paraId="66B5AB4F"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lastRenderedPageBreak/>
              <w:t>Art. 55, który dotyczy czasu trwania kontroli, jego odpowiednik w UC95 znajduje się w art. 68x ust. 4 pkt. 7.</w:t>
            </w:r>
          </w:p>
          <w:p w14:paraId="6279D90D" w14:textId="6F7DF902"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55a, który dotyczy ograniczenia kontroli planowych, wynika wprost z art. 11 ust. 3 rozporządzenia 2019/1020, a w projekcie został doregulowany w art. 68x oraz art. 68zj. Proponowane przepisy dotyczące kontroli pod ukrytą tożsamością wynikają z motywu 40 oraz obowiązującego wprost art. 14 ust. 4 lit. j rozporządzenia UE 2019/1020, a jego odpowiednik w UC95 znajduje się w art. 68zi.</w:t>
            </w:r>
          </w:p>
          <w:p w14:paraId="7788C261" w14:textId="10D33F0F"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 xml:space="preserve">Art. 56, który dotyczy przerwania kontroli, jego odpowiednik w UC95 znajduje się w art. 68zc. </w:t>
            </w:r>
          </w:p>
          <w:p w14:paraId="5495EA57" w14:textId="7518AE63"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57, który dotyczy książki kontroli przedsiębiorcy – przepis ten nie znajduje zastosowania w odniesieniu do UC95, ponieważ prowadzona kontrola odnosi się do gotowych już produktów oferowanych do sprzedaży.</w:t>
            </w:r>
          </w:p>
          <w:p w14:paraId="164BE30D" w14:textId="75EFD3C2"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 xml:space="preserve">Art. 58, którego funkcją jest wyłączenie możliwości przeprowadzenia ponownej kontroli przez ten sam organ – przepis ten nie znajduje zastosowania w </w:t>
            </w:r>
            <w:r w:rsidRPr="00260403">
              <w:rPr>
                <w:rFonts w:cstheme="minorHAnsi"/>
                <w:b/>
                <w:kern w:val="0"/>
                <w:sz w:val="22"/>
                <w:szCs w:val="22"/>
                <w14:ligatures w14:val="none"/>
              </w:rPr>
              <w:lastRenderedPageBreak/>
              <w:t>odniesieniu do UC95, ponieważ prowadzona kontrola odnosi się do gotowych już produktów oferowanych do sprzedaży.</w:t>
            </w:r>
          </w:p>
          <w:p w14:paraId="3FF8ACEE" w14:textId="08B88D0E"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59, którego funkcją jest sprzeciw od czynności kontrolnych przedsiębiorcy oraz skarga na przewlekłe prowadzenie kontroli działalności gospodarczej - przepis ten nie znajduje zastosowania w odniesieniu do UC95, ponieważ prowadzona kontrola odnosi się do gotowych już produktów oferowanych do sprzedaży, które mogą być niezgodne z wymaganiami przepisów harmonizacyjnych oraz stwarzać ryzyko dla bezpieczeństwa użytkowników końcowych.</w:t>
            </w:r>
          </w:p>
          <w:bookmarkEnd w:id="16"/>
          <w:p w14:paraId="3DBCA03D" w14:textId="3B1EB684" w:rsidR="0059404D" w:rsidRDefault="0059404D" w:rsidP="0042202B">
            <w:pPr>
              <w:rPr>
                <w:rFonts w:cstheme="minorHAnsi"/>
                <w:b/>
              </w:rPr>
            </w:pPr>
            <w:r w:rsidRPr="000206C8">
              <w:rPr>
                <w:rFonts w:cstheme="minorHAnsi"/>
                <w:b/>
              </w:rPr>
              <w:t>2) uwaga uwzględniona – wykreślono pkt 15</w:t>
            </w:r>
            <w:r>
              <w:rPr>
                <w:rFonts w:cstheme="minorHAnsi"/>
                <w:b/>
              </w:rPr>
              <w:t>.</w:t>
            </w:r>
          </w:p>
          <w:p w14:paraId="52A7B145" w14:textId="77777777" w:rsidR="0059404D" w:rsidRPr="000206C8" w:rsidRDefault="0059404D" w:rsidP="0042202B">
            <w:pPr>
              <w:rPr>
                <w:rFonts w:cstheme="minorHAnsi"/>
                <w:b/>
              </w:rPr>
            </w:pPr>
          </w:p>
          <w:p w14:paraId="6708B3DD" w14:textId="435FC162" w:rsidR="0059404D" w:rsidRDefault="0059404D" w:rsidP="0042202B">
            <w:pPr>
              <w:rPr>
                <w:rFonts w:cstheme="minorHAnsi"/>
                <w:b/>
              </w:rPr>
            </w:pPr>
            <w:r w:rsidRPr="000206C8">
              <w:rPr>
                <w:rFonts w:cstheme="minorHAnsi"/>
                <w:b/>
              </w:rPr>
              <w:t xml:space="preserve">3) uwaga uwzględniona poprzez doprecyzowanie przepisu (wskazanie </w:t>
            </w:r>
            <w:r>
              <w:rPr>
                <w:rFonts w:cstheme="minorHAnsi"/>
                <w:b/>
              </w:rPr>
              <w:t xml:space="preserve">konkretnych </w:t>
            </w:r>
            <w:r w:rsidRPr="000206C8">
              <w:rPr>
                <w:rFonts w:cstheme="minorHAnsi"/>
                <w:b/>
              </w:rPr>
              <w:t>decyzji – do CEP będą przekazywane informacje w zakresie decyzji o wycofaniu pojazdu)</w:t>
            </w:r>
            <w:r>
              <w:rPr>
                <w:rFonts w:cstheme="minorHAnsi"/>
                <w:b/>
              </w:rPr>
              <w:t xml:space="preserve">: </w:t>
            </w:r>
          </w:p>
          <w:p w14:paraId="4B8A9595" w14:textId="77777777" w:rsidR="0059404D" w:rsidRDefault="0059404D" w:rsidP="0042202B">
            <w:pPr>
              <w:rPr>
                <w:rFonts w:cstheme="minorHAnsi"/>
                <w:b/>
              </w:rPr>
            </w:pPr>
          </w:p>
          <w:p w14:paraId="7EDDD943" w14:textId="77777777" w:rsidR="0059404D" w:rsidRDefault="0059404D" w:rsidP="0042202B">
            <w:pPr>
              <w:rPr>
                <w:b/>
                <w:i/>
              </w:rPr>
            </w:pPr>
            <w:r w:rsidRPr="00F90C7B">
              <w:rPr>
                <w:rFonts w:cstheme="minorHAnsi"/>
                <w:b/>
                <w:i/>
              </w:rPr>
              <w:lastRenderedPageBreak/>
              <w:t xml:space="preserve">„Art. 68s ust. 1 pkt </w:t>
            </w:r>
            <w:r w:rsidRPr="00F90C7B">
              <w:rPr>
                <w:b/>
                <w:i/>
              </w:rPr>
              <w:t>15) przekazywania do ewidencji informacji o decyzji Dyrektora TDT, o której mowa w art. 53b ust. 1 lub 3</w:t>
            </w:r>
            <w:r>
              <w:rPr>
                <w:b/>
                <w:i/>
              </w:rPr>
              <w:t>.”</w:t>
            </w:r>
          </w:p>
          <w:p w14:paraId="3DD39093" w14:textId="0488602A" w:rsidR="0059404D" w:rsidRPr="00F90C7B" w:rsidRDefault="0059404D" w:rsidP="0042202B">
            <w:pPr>
              <w:rPr>
                <w:rFonts w:cstheme="minorHAnsi"/>
                <w:b/>
              </w:rPr>
            </w:pPr>
            <w:r w:rsidRPr="00F90C7B">
              <w:rPr>
                <w:b/>
                <w:i/>
              </w:rPr>
              <w:t xml:space="preserve"> </w:t>
            </w:r>
            <w:r w:rsidRPr="00F90C7B">
              <w:rPr>
                <w:rFonts w:cstheme="minorHAnsi"/>
                <w:b/>
              </w:rPr>
              <w:t xml:space="preserve"> </w:t>
            </w:r>
          </w:p>
          <w:p w14:paraId="208C8DCB" w14:textId="4985DCD9" w:rsidR="0059404D" w:rsidRPr="000206C8" w:rsidRDefault="0059404D" w:rsidP="0042202B">
            <w:pPr>
              <w:rPr>
                <w:rFonts w:cstheme="minorHAnsi"/>
                <w:b/>
              </w:rPr>
            </w:pPr>
            <w:r w:rsidRPr="000206C8">
              <w:rPr>
                <w:rFonts w:cstheme="minorHAnsi"/>
                <w:b/>
              </w:rPr>
              <w:t xml:space="preserve">4)uwaga uwzględniona poprzez wykreślenie pkt </w:t>
            </w:r>
            <w:r>
              <w:rPr>
                <w:rFonts w:cstheme="minorHAnsi"/>
                <w:b/>
              </w:rPr>
              <w:t xml:space="preserve">17 </w:t>
            </w:r>
            <w:r w:rsidRPr="000206C8">
              <w:rPr>
                <w:rFonts w:cstheme="minorHAnsi"/>
                <w:b/>
              </w:rPr>
              <w:t>i dodanie nowego ust.</w:t>
            </w:r>
            <w:r>
              <w:rPr>
                <w:rFonts w:cstheme="minorHAnsi"/>
                <w:b/>
              </w:rPr>
              <w:t xml:space="preserve"> 5</w:t>
            </w:r>
            <w:r w:rsidRPr="000206C8">
              <w:rPr>
                <w:rFonts w:cstheme="minorHAnsi"/>
                <w:b/>
              </w:rPr>
              <w:t xml:space="preserve"> analogicznie do art. 28 ustawy o rozpatrywaniu reklamacji przez podmioty rynku finansowego, o Rzeczniku Finansowym i o Funduszu Edukacji Finansowej (Dz. U. z 2024 r. poz. 1109, z późn. zm.):</w:t>
            </w:r>
          </w:p>
          <w:p w14:paraId="33FE734F" w14:textId="75D31A3E" w:rsidR="0059404D" w:rsidRPr="008D3F9A"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bookmarkStart w:id="17" w:name="_Hlk219304564"/>
            <w:r w:rsidRPr="000206C8">
              <w:rPr>
                <w:rFonts w:asciiTheme="minorHAnsi" w:eastAsiaTheme="minorHAnsi" w:hAnsiTheme="minorHAnsi" w:cstheme="minorHAnsi"/>
                <w:b/>
                <w:i/>
                <w:sz w:val="22"/>
                <w:szCs w:val="22"/>
                <w:lang w:eastAsia="en-US"/>
              </w:rPr>
              <w:t>„Do Dyrektora TDT jako organu nadzoru rynku stosuje się odpowiednio przepis art. 63 ustawy z dnia 17 listopada 1964 r. – Kodeks postępowania cywilnego (Dz. U. z 2024 r. poz. 1568</w:t>
            </w:r>
            <w:r>
              <w:rPr>
                <w:rFonts w:asciiTheme="minorHAnsi" w:eastAsiaTheme="minorHAnsi" w:hAnsiTheme="minorHAnsi" w:cstheme="minorHAnsi"/>
                <w:b/>
                <w:i/>
                <w:sz w:val="22"/>
                <w:szCs w:val="22"/>
                <w:lang w:eastAsia="en-US"/>
              </w:rPr>
              <w:t>, z późn. zm.</w:t>
            </w:r>
            <w:r w:rsidRPr="000206C8">
              <w:rPr>
                <w:rFonts w:asciiTheme="minorHAnsi" w:eastAsiaTheme="minorHAnsi" w:hAnsiTheme="minorHAnsi" w:cstheme="minorHAnsi"/>
                <w:b/>
                <w:i/>
                <w:sz w:val="22"/>
                <w:szCs w:val="22"/>
                <w:lang w:eastAsia="en-US"/>
              </w:rPr>
              <w:t xml:space="preserve">).” </w:t>
            </w:r>
            <w:bookmarkEnd w:id="17"/>
          </w:p>
        </w:tc>
        <w:tc>
          <w:tcPr>
            <w:tcW w:w="3686" w:type="dxa"/>
          </w:tcPr>
          <w:p w14:paraId="0A24F697"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1A3F9C23"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10E4AC80" w14:textId="77777777" w:rsidR="007B6387" w:rsidRDefault="007B6387" w:rsidP="0042202B">
            <w:pPr>
              <w:rPr>
                <w:rFonts w:cstheme="minorHAnsi"/>
                <w:b/>
              </w:rPr>
            </w:pPr>
          </w:p>
          <w:p w14:paraId="2FBA71D5"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3E921EAD" w14:textId="15559FEB" w:rsidR="007B6387" w:rsidRPr="000206C8" w:rsidRDefault="007B6387" w:rsidP="0042202B">
            <w:pPr>
              <w:rPr>
                <w:rFonts w:cstheme="minorHAnsi"/>
                <w:b/>
              </w:rPr>
            </w:pPr>
          </w:p>
        </w:tc>
      </w:tr>
      <w:tr w:rsidR="0059404D" w:rsidRPr="00F515D6" w14:paraId="4CAFCA5E" w14:textId="06AF95EA" w:rsidTr="00D76FE7">
        <w:tc>
          <w:tcPr>
            <w:tcW w:w="562" w:type="dxa"/>
          </w:tcPr>
          <w:p w14:paraId="14AA1730" w14:textId="377EF1F6" w:rsidR="0059404D" w:rsidRPr="00EF5D80" w:rsidRDefault="0059404D" w:rsidP="0042202B">
            <w:pPr>
              <w:rPr>
                <w:rFonts w:cstheme="minorHAnsi"/>
                <w:b/>
              </w:rPr>
            </w:pPr>
            <w:r w:rsidRPr="00EF5D80">
              <w:rPr>
                <w:rFonts w:cstheme="minorHAnsi"/>
                <w:b/>
              </w:rPr>
              <w:lastRenderedPageBreak/>
              <w:t>14</w:t>
            </w:r>
          </w:p>
        </w:tc>
        <w:tc>
          <w:tcPr>
            <w:tcW w:w="993" w:type="dxa"/>
          </w:tcPr>
          <w:p w14:paraId="38A74143" w14:textId="77777777" w:rsidR="0059404D" w:rsidRDefault="0059404D" w:rsidP="0042202B">
            <w:pPr>
              <w:rPr>
                <w:rFonts w:cstheme="minorHAnsi"/>
                <w:b/>
              </w:rPr>
            </w:pPr>
            <w:r w:rsidRPr="00EF5D80">
              <w:rPr>
                <w:rFonts w:cstheme="minorHAnsi"/>
                <w:b/>
              </w:rPr>
              <w:t>RCL</w:t>
            </w:r>
          </w:p>
          <w:p w14:paraId="7E4735B5" w14:textId="77777777" w:rsidR="0059404D" w:rsidRDefault="0059404D" w:rsidP="0042202B">
            <w:pPr>
              <w:rPr>
                <w:rFonts w:cstheme="minorHAnsi"/>
                <w:b/>
                <w:color w:val="00B050"/>
              </w:rPr>
            </w:pPr>
            <w:bookmarkStart w:id="18" w:name="_Hlk227762478"/>
            <w:r>
              <w:rPr>
                <w:rFonts w:cstheme="minorHAnsi"/>
                <w:b/>
                <w:color w:val="00B050"/>
              </w:rPr>
              <w:t>+ uwaga 43 MC (art. 68s ust. 3-4)</w:t>
            </w:r>
          </w:p>
          <w:bookmarkEnd w:id="18"/>
          <w:p w14:paraId="2D604BAC" w14:textId="77777777" w:rsidR="0059404D" w:rsidRDefault="0059404D" w:rsidP="0042202B">
            <w:pPr>
              <w:rPr>
                <w:rFonts w:cstheme="minorHAnsi"/>
                <w:b/>
                <w:color w:val="00B050"/>
              </w:rPr>
            </w:pPr>
          </w:p>
          <w:p w14:paraId="5C48381F" w14:textId="622F2C4E" w:rsidR="0059404D" w:rsidRPr="007D1645" w:rsidRDefault="0059404D" w:rsidP="0042202B">
            <w:pPr>
              <w:rPr>
                <w:rFonts w:cstheme="minorHAnsi"/>
                <w:b/>
                <w:color w:val="00B050"/>
              </w:rPr>
            </w:pPr>
            <w:bookmarkStart w:id="19" w:name="_Hlk227762494"/>
            <w:r>
              <w:rPr>
                <w:rFonts w:cstheme="minorHAnsi"/>
                <w:b/>
                <w:color w:val="00B050"/>
              </w:rPr>
              <w:t xml:space="preserve">+ uwaga 126 MSZ </w:t>
            </w:r>
            <w:bookmarkStart w:id="20" w:name="_Hlk227762507"/>
            <w:bookmarkEnd w:id="19"/>
            <w:r>
              <w:rPr>
                <w:rFonts w:cstheme="minorHAnsi"/>
                <w:b/>
                <w:color w:val="00B050"/>
              </w:rPr>
              <w:lastRenderedPageBreak/>
              <w:t>(art. 68s ust. 2)</w:t>
            </w:r>
            <w:bookmarkEnd w:id="20"/>
          </w:p>
        </w:tc>
        <w:tc>
          <w:tcPr>
            <w:tcW w:w="1701" w:type="dxa"/>
          </w:tcPr>
          <w:p w14:paraId="599DD321" w14:textId="7319232F" w:rsidR="0059404D" w:rsidRPr="00EF5D80" w:rsidRDefault="0059404D" w:rsidP="0042202B">
            <w:pPr>
              <w:rPr>
                <w:rFonts w:cstheme="minorHAnsi"/>
                <w:b/>
              </w:rPr>
            </w:pPr>
            <w:r w:rsidRPr="00EF5D80">
              <w:rPr>
                <w:rFonts w:cstheme="minorHAnsi"/>
                <w:b/>
              </w:rPr>
              <w:lastRenderedPageBreak/>
              <w:t>Art. 68s ust. 2 i 3 UH</w:t>
            </w:r>
          </w:p>
        </w:tc>
        <w:tc>
          <w:tcPr>
            <w:tcW w:w="5953" w:type="dxa"/>
          </w:tcPr>
          <w:p w14:paraId="16B978F9" w14:textId="537BB842" w:rsidR="0059404D" w:rsidRPr="00EF5D80" w:rsidRDefault="0059404D" w:rsidP="0042202B">
            <w:pPr>
              <w:widowControl w:val="0"/>
              <w:numPr>
                <w:ilvl w:val="0"/>
                <w:numId w:val="5"/>
              </w:numPr>
              <w:tabs>
                <w:tab w:val="left" w:pos="810"/>
              </w:tabs>
              <w:ind w:hanging="567"/>
              <w:rPr>
                <w:rFonts w:cstheme="minorHAnsi"/>
                <w:b/>
              </w:rPr>
            </w:pPr>
            <w:r w:rsidRPr="00EF5D80">
              <w:rPr>
                <w:rFonts w:cstheme="minorHAnsi"/>
                <w:b/>
              </w:rPr>
              <w:t xml:space="preserve">Zgodnie z dodawanym do ustawy art. 68s ust. 2 i 3 (art. 1 pkt 10 projektu) Dyrektor TDT jako organ nadzoru rynku w celu realizacji zadań może korzystać z </w:t>
            </w:r>
            <w:r w:rsidRPr="00EF5D80">
              <w:rPr>
                <w:rStyle w:val="Teksttreci20"/>
                <w:rFonts w:asciiTheme="minorHAnsi" w:eastAsiaTheme="minorHAnsi" w:hAnsiTheme="minorHAnsi" w:cstheme="minorHAnsi"/>
                <w:b/>
                <w:sz w:val="22"/>
                <w:szCs w:val="22"/>
                <w:u w:val="none"/>
              </w:rPr>
              <w:t>danych o osobie,</w:t>
            </w:r>
            <w:r w:rsidRPr="00EF5D80">
              <w:rPr>
                <w:rFonts w:cstheme="minorHAnsi"/>
                <w:b/>
              </w:rPr>
              <w:t xml:space="preserve"> w tym również w formie zapisu elektronicznego, uzyskanych przez inne organy, służby i instytucje państwowe w wyniku wykonywania czynności w zakresie nadzoru rynku, a administrator tych danych jest obowiązany udostępnić </w:t>
            </w:r>
            <w:r w:rsidRPr="00EF5D80">
              <w:rPr>
                <w:rStyle w:val="Teksttreci20"/>
                <w:rFonts w:asciiTheme="minorHAnsi" w:eastAsiaTheme="minorHAnsi" w:hAnsiTheme="minorHAnsi" w:cstheme="minorHAnsi"/>
                <w:b/>
                <w:sz w:val="22"/>
                <w:szCs w:val="22"/>
                <w:u w:val="none"/>
              </w:rPr>
              <w:t xml:space="preserve">dane osobowe </w:t>
            </w:r>
            <w:r w:rsidRPr="00EF5D80">
              <w:rPr>
                <w:rFonts w:cstheme="minorHAnsi"/>
                <w:b/>
              </w:rPr>
              <w:t xml:space="preserve">inspektorowi Transportowego Dozoru Technicznego wskazanemu w imiennym upoważnieniu Dyrektora TDT, po okazaniu tego upoważnienia oraz legitymacji służbowej. W </w:t>
            </w:r>
            <w:r w:rsidRPr="00EF5D80">
              <w:rPr>
                <w:rFonts w:cstheme="minorHAnsi"/>
                <w:b/>
              </w:rPr>
              <w:lastRenderedPageBreak/>
              <w:t>przepisie tym należy doprecyzować, o jakie dane osobowe chodzi. Należy mieć przy tym na uwadze konieczność uwzględnienia zasad dotyczących przetwarzania danych osobowych wynikających z art. 5 rozporządzenia 2016/679, w tym zasady minimalizacji danych i zasady zgodności z prawem, rzetelności i przejrzystości (regulacja musi być wyczerpująca, zupełna) oraz prawo ochrony danych osobowych wynikające z art. 51 Konstytucji RP. RCL zauważa także, że zasadne jest uzyskanie opinii Prezesa Urzędu Danych Osobowych odnośnie do proponowanych regulacji.</w:t>
            </w:r>
          </w:p>
        </w:tc>
        <w:tc>
          <w:tcPr>
            <w:tcW w:w="3827" w:type="dxa"/>
          </w:tcPr>
          <w:p w14:paraId="31C31C14" w14:textId="781479B6" w:rsidR="0059404D" w:rsidRPr="00F90C7B" w:rsidRDefault="0059404D" w:rsidP="0042202B">
            <w:pPr>
              <w:rPr>
                <w:b/>
              </w:rPr>
            </w:pPr>
            <w:bookmarkStart w:id="21" w:name="_Hlk220249806"/>
            <w:r w:rsidRPr="00F90C7B">
              <w:rPr>
                <w:b/>
              </w:rPr>
              <w:lastRenderedPageBreak/>
              <w:t>Uwaga nieuwzględniona - Administrator, w tym przypadku TDT, będzie przetwarzał dane na podstawie obowiązku prawnego, o którym mowa w art. 6 ust. 1 lit. c RODO.</w:t>
            </w:r>
            <w:r w:rsidRPr="00F90C7B">
              <w:rPr>
                <w:rFonts w:ascii="EUAlbertina" w:hAnsi="EUAlbertina"/>
                <w:b/>
                <w:color w:val="000000"/>
                <w:sz w:val="19"/>
                <w:szCs w:val="19"/>
              </w:rPr>
              <w:t xml:space="preserve"> </w:t>
            </w:r>
            <w:r w:rsidRPr="00F90C7B">
              <w:rPr>
                <w:b/>
              </w:rPr>
              <w:t xml:space="preserve">RODO nie nakłada wymogu, aby dla każdego indywidualnego przetwarzania istniało szczegółowe uregulowanie prawne. Wystarczyć może to, że dane uregulowanie prawne stanowią </w:t>
            </w:r>
            <w:r w:rsidRPr="00F90C7B">
              <w:rPr>
                <w:b/>
              </w:rPr>
              <w:lastRenderedPageBreak/>
              <w:t>podstawę różnych operacji przetwarzania wynikających z obowiązku prawnego, któremu podlega administrator, jak w opisanym przypadku.</w:t>
            </w:r>
          </w:p>
          <w:p w14:paraId="448E36D3" w14:textId="77777777" w:rsidR="0059404D" w:rsidRPr="00EF5D80" w:rsidRDefault="0059404D" w:rsidP="0042202B">
            <w:pPr>
              <w:rPr>
                <w:b/>
              </w:rPr>
            </w:pPr>
          </w:p>
          <w:bookmarkEnd w:id="21"/>
          <w:p w14:paraId="39F0245D" w14:textId="04D00536" w:rsidR="0059404D" w:rsidRPr="00EF5D80" w:rsidRDefault="0059404D" w:rsidP="0042202B">
            <w:pPr>
              <w:rPr>
                <w:rFonts w:cstheme="minorHAnsi"/>
                <w:b/>
                <w:strike/>
              </w:rPr>
            </w:pPr>
            <w:r w:rsidRPr="00EF5D80">
              <w:rPr>
                <w:rFonts w:cstheme="minorHAnsi"/>
                <w:b/>
              </w:rPr>
              <w:t xml:space="preserve">Prezes Urzędu Danych Osobowych nie zgłosił uwag do projektu. </w:t>
            </w:r>
          </w:p>
        </w:tc>
        <w:tc>
          <w:tcPr>
            <w:tcW w:w="3686" w:type="dxa"/>
          </w:tcPr>
          <w:p w14:paraId="015D804A"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0CF38531"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1C098E96" w14:textId="77777777" w:rsidR="007B6387" w:rsidRDefault="007B6387" w:rsidP="0042202B">
            <w:pPr>
              <w:rPr>
                <w:b/>
              </w:rPr>
            </w:pPr>
          </w:p>
          <w:p w14:paraId="35AFCFA8"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1916D4ED" w14:textId="75496737" w:rsidR="007B6387" w:rsidRPr="00F90C7B" w:rsidRDefault="007B6387" w:rsidP="0042202B">
            <w:pPr>
              <w:rPr>
                <w:b/>
              </w:rPr>
            </w:pPr>
          </w:p>
        </w:tc>
      </w:tr>
      <w:tr w:rsidR="0059404D" w:rsidRPr="00F515D6" w14:paraId="7F05224A" w14:textId="1BF3544D" w:rsidTr="00D76FE7">
        <w:tc>
          <w:tcPr>
            <w:tcW w:w="562" w:type="dxa"/>
          </w:tcPr>
          <w:p w14:paraId="0EF35609" w14:textId="77F4AAC4" w:rsidR="0059404D" w:rsidRPr="00785E3F" w:rsidRDefault="0059404D" w:rsidP="0042202B">
            <w:pPr>
              <w:rPr>
                <w:rFonts w:cstheme="minorHAnsi"/>
                <w:b/>
              </w:rPr>
            </w:pPr>
            <w:r w:rsidRPr="00785E3F">
              <w:rPr>
                <w:rFonts w:cstheme="minorHAnsi"/>
                <w:b/>
              </w:rPr>
              <w:t>15</w:t>
            </w:r>
          </w:p>
        </w:tc>
        <w:tc>
          <w:tcPr>
            <w:tcW w:w="993" w:type="dxa"/>
          </w:tcPr>
          <w:p w14:paraId="2838619A" w14:textId="6469C789" w:rsidR="0059404D" w:rsidRPr="00785E3F" w:rsidRDefault="0059404D" w:rsidP="0042202B">
            <w:pPr>
              <w:rPr>
                <w:rFonts w:cstheme="minorHAnsi"/>
                <w:b/>
              </w:rPr>
            </w:pPr>
            <w:r w:rsidRPr="00785E3F">
              <w:rPr>
                <w:rFonts w:cstheme="minorHAnsi"/>
                <w:b/>
              </w:rPr>
              <w:t>RCL</w:t>
            </w:r>
          </w:p>
        </w:tc>
        <w:tc>
          <w:tcPr>
            <w:tcW w:w="1701" w:type="dxa"/>
          </w:tcPr>
          <w:p w14:paraId="16050B9E" w14:textId="6CF2C3FF" w:rsidR="0059404D" w:rsidRPr="00785E3F" w:rsidRDefault="0059404D" w:rsidP="0042202B">
            <w:pPr>
              <w:rPr>
                <w:rFonts w:cstheme="minorHAnsi"/>
                <w:b/>
              </w:rPr>
            </w:pPr>
            <w:r w:rsidRPr="00785E3F">
              <w:rPr>
                <w:rFonts w:cstheme="minorHAnsi"/>
                <w:b/>
              </w:rPr>
              <w:t>Art. 68t ust. 1 pkt 2 UH</w:t>
            </w:r>
          </w:p>
        </w:tc>
        <w:tc>
          <w:tcPr>
            <w:tcW w:w="5953" w:type="dxa"/>
          </w:tcPr>
          <w:p w14:paraId="5A9B687D" w14:textId="132FD94F" w:rsidR="0059404D" w:rsidRPr="00785E3F" w:rsidRDefault="0059404D" w:rsidP="0042202B">
            <w:pPr>
              <w:widowControl w:val="0"/>
              <w:numPr>
                <w:ilvl w:val="0"/>
                <w:numId w:val="5"/>
              </w:numPr>
              <w:tabs>
                <w:tab w:val="left" w:pos="790"/>
              </w:tabs>
              <w:ind w:hanging="567"/>
              <w:rPr>
                <w:rFonts w:cstheme="minorHAnsi"/>
                <w:b/>
              </w:rPr>
            </w:pPr>
            <w:r w:rsidRPr="00785E3F">
              <w:rPr>
                <w:rFonts w:cstheme="minorHAnsi"/>
                <w:b/>
              </w:rPr>
              <w:t>Z dodawanego do ustawy art. 68t ust. 1 pkt 2 (art. 1 pkt 10 projektu) wynika, że Dyrektor TDT jako organ nadzoru rynku może podawać do publicznej wiadomości, w szczególności poprzez publikację na stronie podmiotowej Transportowego Dozoru Technicznego, informację o przeprowadzonych kontrolach i ich wynikach wskazujących dane identyfikujące kontrolowanego i podmiot gospodarczy udostępniający na rynku pojazd, przedmiot wyposażenia lub część oraz ich producenta. Zasadne jest doprecyzowanie o jakie dane identyfikujące chodzi.</w:t>
            </w:r>
          </w:p>
        </w:tc>
        <w:tc>
          <w:tcPr>
            <w:tcW w:w="3827" w:type="dxa"/>
          </w:tcPr>
          <w:p w14:paraId="78E0A0BD" w14:textId="5796CBB0" w:rsidR="0059404D" w:rsidRPr="00D65B3F" w:rsidRDefault="0059404D" w:rsidP="0042202B">
            <w:pPr>
              <w:rPr>
                <w:rFonts w:cstheme="minorHAnsi"/>
                <w:b/>
              </w:rPr>
            </w:pPr>
            <w:r w:rsidRPr="00D65B3F">
              <w:rPr>
                <w:rFonts w:cstheme="minorHAnsi"/>
                <w:b/>
              </w:rPr>
              <w:t>Uwaga uwzględniona poprzez doprecyzowanie przepisów</w:t>
            </w:r>
            <w:r>
              <w:rPr>
                <w:rFonts w:cstheme="minorHAnsi"/>
                <w:b/>
              </w:rPr>
              <w:t xml:space="preserve"> oraz usunięcie podawania przez TDT informacji o kontrolowanym w zakresie nazwy i siedziby</w:t>
            </w:r>
            <w:r w:rsidRPr="00D65B3F">
              <w:rPr>
                <w:rFonts w:cstheme="minorHAnsi"/>
                <w:b/>
              </w:rPr>
              <w:t>:</w:t>
            </w:r>
          </w:p>
          <w:p w14:paraId="2BA52454" w14:textId="77777777" w:rsidR="0059404D" w:rsidRPr="00D65B3F" w:rsidRDefault="0059404D" w:rsidP="0042202B">
            <w:pPr>
              <w:rPr>
                <w:rFonts w:cstheme="minorHAnsi"/>
                <w:b/>
              </w:rPr>
            </w:pPr>
          </w:p>
          <w:p w14:paraId="1AB97658" w14:textId="77777777" w:rsidR="0059404D"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D65B3F">
              <w:rPr>
                <w:rFonts w:asciiTheme="minorHAnsi" w:eastAsiaTheme="minorHAnsi" w:hAnsiTheme="minorHAnsi" w:cstheme="minorHAnsi"/>
                <w:b/>
                <w:i/>
                <w:sz w:val="22"/>
                <w:szCs w:val="22"/>
                <w:lang w:eastAsia="en-US"/>
              </w:rPr>
              <w:t>Art. 68t. 1. Dyrektor TDT jako organ nadzoru rynku podaje do publicznej wiadomości, w szczególności poprzez publikację na stronie podmiotowej Transportowego Dozoru Technicznego:</w:t>
            </w:r>
          </w:p>
          <w:p w14:paraId="3E407516" w14:textId="77777777" w:rsidR="0059404D" w:rsidRDefault="0059404D" w:rsidP="0042202B">
            <w:pPr>
              <w:pStyle w:val="ZARTzmartartykuempunktem"/>
              <w:keepNext/>
              <w:spacing w:line="240" w:lineRule="auto"/>
              <w:ind w:left="0" w:firstLine="0"/>
              <w:jc w:val="left"/>
              <w:rPr>
                <w:rFonts w:asciiTheme="minorHAnsi" w:eastAsiaTheme="minorHAnsi" w:hAnsiTheme="minorHAnsi" w:cstheme="minorHAnsi"/>
                <w:b/>
                <w:bCs/>
                <w:i/>
                <w:sz w:val="22"/>
                <w:szCs w:val="22"/>
                <w:lang w:eastAsia="en-US"/>
              </w:rPr>
            </w:pPr>
          </w:p>
          <w:p w14:paraId="1AD3B2B2" w14:textId="5D6D8A02" w:rsidR="0059404D" w:rsidRPr="00D65B3F" w:rsidRDefault="0059404D" w:rsidP="0042202B">
            <w:pPr>
              <w:pStyle w:val="ZARTzmartartykuempunktem"/>
              <w:keepNext/>
              <w:spacing w:line="240" w:lineRule="auto"/>
              <w:ind w:left="0" w:firstLine="0"/>
              <w:jc w:val="left"/>
              <w:rPr>
                <w:rFonts w:asciiTheme="minorHAnsi" w:eastAsiaTheme="minorHAnsi" w:hAnsiTheme="minorHAnsi" w:cstheme="minorHAnsi"/>
                <w:b/>
                <w:bCs/>
                <w:i/>
                <w:sz w:val="22"/>
                <w:szCs w:val="22"/>
                <w:lang w:eastAsia="en-US"/>
              </w:rPr>
            </w:pPr>
            <w:r w:rsidRPr="00D65B3F">
              <w:rPr>
                <w:rFonts w:asciiTheme="minorHAnsi" w:eastAsiaTheme="minorHAnsi" w:hAnsiTheme="minorHAnsi" w:cstheme="minorHAnsi"/>
                <w:b/>
                <w:bCs/>
                <w:i/>
                <w:sz w:val="22"/>
                <w:szCs w:val="22"/>
                <w:lang w:eastAsia="en-US"/>
              </w:rPr>
              <w:t xml:space="preserve">2) informacje o przeprowadzonych kontrolach i ich wynikach </w:t>
            </w:r>
            <w:r>
              <w:rPr>
                <w:rFonts w:asciiTheme="minorHAnsi" w:eastAsiaTheme="minorHAnsi" w:hAnsiTheme="minorHAnsi" w:cstheme="minorHAnsi"/>
                <w:b/>
                <w:bCs/>
                <w:i/>
                <w:sz w:val="22"/>
                <w:szCs w:val="22"/>
                <w:lang w:eastAsia="en-US"/>
              </w:rPr>
              <w:t>zawierające</w:t>
            </w:r>
            <w:r w:rsidRPr="00D65B3F">
              <w:rPr>
                <w:rFonts w:asciiTheme="minorHAnsi" w:eastAsiaTheme="minorHAnsi" w:hAnsiTheme="minorHAnsi" w:cstheme="minorHAnsi"/>
                <w:b/>
                <w:bCs/>
                <w:i/>
                <w:sz w:val="22"/>
                <w:szCs w:val="22"/>
                <w:lang w:eastAsia="en-US"/>
              </w:rPr>
              <w:t xml:space="preserve"> dane identyfikujące:</w:t>
            </w:r>
          </w:p>
          <w:p w14:paraId="467B2411" w14:textId="77777777" w:rsidR="0059404D" w:rsidRPr="00D65B3F" w:rsidRDefault="0059404D" w:rsidP="0042202B">
            <w:pPr>
              <w:pStyle w:val="ZLITwPKTzmlitwpktartykuempunktem"/>
              <w:spacing w:line="240" w:lineRule="auto"/>
              <w:jc w:val="left"/>
              <w:rPr>
                <w:rFonts w:asciiTheme="minorHAnsi" w:eastAsiaTheme="minorHAnsi" w:hAnsiTheme="minorHAnsi" w:cstheme="minorHAnsi"/>
                <w:b/>
                <w:bCs w:val="0"/>
                <w:i/>
                <w:sz w:val="22"/>
                <w:szCs w:val="22"/>
                <w:lang w:eastAsia="en-US"/>
              </w:rPr>
            </w:pPr>
            <w:r w:rsidRPr="00D65B3F">
              <w:rPr>
                <w:rFonts w:asciiTheme="minorHAnsi" w:eastAsiaTheme="minorHAnsi" w:hAnsiTheme="minorHAnsi" w:cstheme="minorHAnsi"/>
                <w:b/>
                <w:bCs w:val="0"/>
                <w:i/>
                <w:sz w:val="22"/>
                <w:szCs w:val="22"/>
                <w:lang w:eastAsia="en-US"/>
              </w:rPr>
              <w:t>a)</w:t>
            </w:r>
            <w:r w:rsidRPr="00D65B3F">
              <w:rPr>
                <w:rFonts w:asciiTheme="minorHAnsi" w:eastAsiaTheme="minorHAnsi" w:hAnsiTheme="minorHAnsi" w:cstheme="minorHAnsi"/>
                <w:b/>
                <w:bCs w:val="0"/>
                <w:i/>
                <w:sz w:val="22"/>
                <w:szCs w:val="22"/>
                <w:lang w:eastAsia="en-US"/>
              </w:rPr>
              <w:tab/>
              <w:t xml:space="preserve">podmiot gospodarczy udostępniający na rynku pojazd, przedmiot </w:t>
            </w:r>
            <w:r w:rsidRPr="00D65B3F">
              <w:rPr>
                <w:rFonts w:asciiTheme="minorHAnsi" w:eastAsiaTheme="minorHAnsi" w:hAnsiTheme="minorHAnsi" w:cstheme="minorHAnsi"/>
                <w:b/>
                <w:bCs w:val="0"/>
                <w:i/>
                <w:sz w:val="22"/>
                <w:szCs w:val="22"/>
                <w:lang w:eastAsia="en-US"/>
              </w:rPr>
              <w:lastRenderedPageBreak/>
              <w:t>wyposażenia lub część w zakresie nazwy i adresu siedziby,</w:t>
            </w:r>
          </w:p>
          <w:p w14:paraId="7D236C00" w14:textId="47B7E3F1" w:rsidR="0059404D" w:rsidRPr="00D65B3F" w:rsidRDefault="0059404D" w:rsidP="0042202B">
            <w:pPr>
              <w:pStyle w:val="ZLITwPKTzmlitwpktartykuempunktem"/>
              <w:spacing w:line="240" w:lineRule="auto"/>
              <w:jc w:val="left"/>
              <w:rPr>
                <w:rFonts w:asciiTheme="minorHAnsi" w:eastAsiaTheme="minorHAnsi" w:hAnsiTheme="minorHAnsi" w:cstheme="minorHAnsi"/>
                <w:b/>
                <w:bCs w:val="0"/>
                <w:i/>
                <w:sz w:val="22"/>
                <w:szCs w:val="22"/>
                <w:lang w:eastAsia="en-US"/>
              </w:rPr>
            </w:pPr>
            <w:r w:rsidRPr="00D65B3F">
              <w:rPr>
                <w:rFonts w:asciiTheme="minorHAnsi" w:eastAsiaTheme="minorHAnsi" w:hAnsiTheme="minorHAnsi" w:cstheme="minorHAnsi"/>
                <w:b/>
                <w:bCs w:val="0"/>
                <w:i/>
                <w:sz w:val="22"/>
                <w:szCs w:val="22"/>
                <w:lang w:eastAsia="en-US"/>
              </w:rPr>
              <w:t>b)</w:t>
            </w:r>
            <w:r w:rsidRPr="00D65B3F">
              <w:rPr>
                <w:rFonts w:asciiTheme="minorHAnsi" w:eastAsiaTheme="minorHAnsi" w:hAnsiTheme="minorHAnsi" w:cstheme="minorHAnsi"/>
                <w:b/>
                <w:bCs w:val="0"/>
                <w:i/>
                <w:sz w:val="22"/>
                <w:szCs w:val="22"/>
                <w:lang w:eastAsia="en-US"/>
              </w:rPr>
              <w:tab/>
              <w:t>pojazd, przedmiot wyposażenia lub część</w:t>
            </w:r>
            <w:r w:rsidRPr="00D65B3F" w:rsidDel="00A31BBF">
              <w:rPr>
                <w:rFonts w:asciiTheme="minorHAnsi" w:eastAsiaTheme="minorHAnsi" w:hAnsiTheme="minorHAnsi" w:cstheme="minorHAnsi"/>
                <w:b/>
                <w:bCs w:val="0"/>
                <w:i/>
                <w:sz w:val="22"/>
                <w:szCs w:val="22"/>
                <w:lang w:eastAsia="en-US"/>
              </w:rPr>
              <w:t xml:space="preserve"> </w:t>
            </w:r>
            <w:r w:rsidRPr="00D65B3F">
              <w:rPr>
                <w:rFonts w:asciiTheme="minorHAnsi" w:eastAsiaTheme="minorHAnsi" w:hAnsiTheme="minorHAnsi" w:cstheme="minorHAnsi"/>
                <w:b/>
                <w:bCs w:val="0"/>
                <w:i/>
                <w:sz w:val="22"/>
                <w:szCs w:val="22"/>
                <w:lang w:eastAsia="en-US"/>
              </w:rPr>
              <w:t>poddany kontroli oraz ich producenta;</w:t>
            </w:r>
          </w:p>
          <w:p w14:paraId="74B07AAD" w14:textId="315F2ECB" w:rsidR="0059404D" w:rsidRPr="00D65B3F" w:rsidRDefault="0059404D" w:rsidP="0042202B">
            <w:pPr>
              <w:pStyle w:val="ZLITwPKTzmlitwpktartykuempunktem"/>
              <w:spacing w:line="240" w:lineRule="auto"/>
              <w:jc w:val="left"/>
              <w:rPr>
                <w:rFonts w:asciiTheme="minorHAnsi" w:eastAsiaTheme="minorHAnsi" w:hAnsiTheme="minorHAnsi" w:cstheme="minorHAnsi"/>
                <w:b/>
                <w:bCs w:val="0"/>
                <w:i/>
                <w:sz w:val="22"/>
                <w:szCs w:val="22"/>
                <w:lang w:eastAsia="en-US"/>
              </w:rPr>
            </w:pPr>
          </w:p>
          <w:p w14:paraId="22024C82" w14:textId="77777777" w:rsidR="0059404D" w:rsidRPr="00D65B3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t>3. Dyrektor TDT jako organ nadzoru rynku prowadzi wykaz pojazdów, przedmiotów wyposażenia oraz części niezgodnych z wymaganiami technicznymi lub które stwarzają poważne ryzyko, zwany dalej „wykazem niezgodności” oraz wykaz akcji serwisowych, zwany dalej „wykazem akcji”.</w:t>
            </w:r>
          </w:p>
          <w:p w14:paraId="4D3DD065" w14:textId="77777777" w:rsidR="0059404D" w:rsidRPr="00D65B3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t>4. W wykazie niezgodności</w:t>
            </w:r>
            <w:r w:rsidRPr="00D65B3F" w:rsidDel="00F720AF">
              <w:rPr>
                <w:rFonts w:asciiTheme="minorHAnsi" w:eastAsiaTheme="minorHAnsi" w:hAnsiTheme="minorHAnsi" w:cstheme="minorHAnsi"/>
                <w:b/>
                <w:i/>
                <w:sz w:val="22"/>
                <w:szCs w:val="22"/>
                <w:lang w:eastAsia="en-US"/>
              </w:rPr>
              <w:t xml:space="preserve"> </w:t>
            </w:r>
            <w:r w:rsidRPr="00D65B3F">
              <w:rPr>
                <w:rFonts w:asciiTheme="minorHAnsi" w:eastAsiaTheme="minorHAnsi" w:hAnsiTheme="minorHAnsi" w:cstheme="minorHAnsi"/>
                <w:b/>
                <w:i/>
                <w:sz w:val="22"/>
                <w:szCs w:val="22"/>
                <w:lang w:eastAsia="en-US"/>
              </w:rPr>
              <w:t>są gromadzone:</w:t>
            </w:r>
          </w:p>
          <w:p w14:paraId="5770A33C" w14:textId="654EF1BB" w:rsidR="0059404D" w:rsidRPr="00D65B3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t>1)</w:t>
            </w:r>
            <w:r>
              <w:rPr>
                <w:rFonts w:asciiTheme="minorHAnsi" w:eastAsiaTheme="minorHAnsi" w:hAnsiTheme="minorHAnsi" w:cstheme="minorHAnsi"/>
                <w:b/>
                <w:i/>
                <w:sz w:val="22"/>
                <w:szCs w:val="22"/>
                <w:lang w:eastAsia="en-US"/>
              </w:rPr>
              <w:t xml:space="preserve"> </w:t>
            </w:r>
            <w:r w:rsidRPr="00D65B3F">
              <w:rPr>
                <w:rFonts w:asciiTheme="minorHAnsi" w:eastAsiaTheme="minorHAnsi" w:hAnsiTheme="minorHAnsi" w:cstheme="minorHAnsi"/>
                <w:b/>
                <w:i/>
                <w:sz w:val="22"/>
                <w:szCs w:val="22"/>
                <w:lang w:eastAsia="en-US"/>
              </w:rPr>
              <w:t>dane umożliwiające identyfikację pojazdu, przedmiotu wyposażenia lub części;</w:t>
            </w:r>
          </w:p>
          <w:p w14:paraId="173307E5" w14:textId="30404FE4" w:rsidR="0059404D" w:rsidRPr="00D65B3F"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t>2)</w:t>
            </w:r>
            <w:r>
              <w:rPr>
                <w:rFonts w:asciiTheme="minorHAnsi" w:eastAsiaTheme="minorHAnsi" w:hAnsiTheme="minorHAnsi" w:cstheme="minorHAnsi"/>
                <w:b/>
                <w:i/>
                <w:sz w:val="22"/>
                <w:szCs w:val="22"/>
                <w:lang w:eastAsia="en-US"/>
              </w:rPr>
              <w:t xml:space="preserve"> </w:t>
            </w:r>
            <w:r w:rsidRPr="00D65B3F">
              <w:rPr>
                <w:rFonts w:asciiTheme="minorHAnsi" w:eastAsiaTheme="minorHAnsi" w:hAnsiTheme="minorHAnsi" w:cstheme="minorHAnsi"/>
                <w:b/>
                <w:i/>
                <w:sz w:val="22"/>
                <w:szCs w:val="22"/>
                <w:lang w:eastAsia="en-US"/>
              </w:rPr>
              <w:t>informacje o:</w:t>
            </w:r>
          </w:p>
          <w:p w14:paraId="1BC2A087" w14:textId="77777777" w:rsidR="0059404D" w:rsidRPr="00D65B3F" w:rsidRDefault="0059404D" w:rsidP="0042202B">
            <w:pPr>
              <w:pStyle w:val="ZARTzmartartykuempunktem"/>
              <w:spacing w:line="240" w:lineRule="auto"/>
              <w:ind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t>a)</w:t>
            </w:r>
            <w:r w:rsidRPr="00D65B3F">
              <w:rPr>
                <w:rFonts w:asciiTheme="minorHAnsi" w:eastAsiaTheme="minorHAnsi" w:hAnsiTheme="minorHAnsi" w:cstheme="minorHAnsi"/>
                <w:b/>
                <w:i/>
                <w:sz w:val="22"/>
                <w:szCs w:val="22"/>
                <w:lang w:eastAsia="en-US"/>
              </w:rPr>
              <w:tab/>
              <w:t>rodzaju i zakresie niezgodności z wymaganiami technicznymi lub stwarzanym poważnym ryzykiem przez pojazd, przedmiot wyposażenia lub część,</w:t>
            </w:r>
          </w:p>
          <w:p w14:paraId="215CC52D" w14:textId="5D3B22A4" w:rsidR="0059404D" w:rsidRPr="00C0488F" w:rsidRDefault="0059404D" w:rsidP="0042202B">
            <w:pPr>
              <w:pStyle w:val="ZARTzmartartykuempunktem"/>
              <w:spacing w:line="240" w:lineRule="auto"/>
              <w:ind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lastRenderedPageBreak/>
              <w:t>b)</w:t>
            </w:r>
            <w:r>
              <w:rPr>
                <w:rFonts w:asciiTheme="minorHAnsi" w:eastAsiaTheme="minorHAnsi" w:hAnsiTheme="minorHAnsi" w:cstheme="minorHAnsi"/>
                <w:b/>
                <w:i/>
                <w:sz w:val="22"/>
                <w:szCs w:val="22"/>
                <w:lang w:eastAsia="en-US"/>
              </w:rPr>
              <w:t xml:space="preserve">  </w:t>
            </w:r>
            <w:r w:rsidRPr="00D65B3F">
              <w:rPr>
                <w:rFonts w:asciiTheme="minorHAnsi" w:eastAsiaTheme="minorHAnsi" w:hAnsiTheme="minorHAnsi" w:cstheme="minorHAnsi"/>
                <w:b/>
                <w:i/>
                <w:sz w:val="22"/>
                <w:szCs w:val="22"/>
                <w:lang w:eastAsia="en-US"/>
              </w:rPr>
              <w:t>środkach, jakie zastosowano w odniesieniu do pojazdu, przedmiotu wyposażenia lub części.</w:t>
            </w:r>
            <w:r>
              <w:rPr>
                <w:rFonts w:asciiTheme="minorHAnsi" w:eastAsiaTheme="minorHAnsi" w:hAnsiTheme="minorHAnsi" w:cstheme="minorHAnsi"/>
                <w:b/>
                <w:i/>
                <w:sz w:val="22"/>
                <w:szCs w:val="22"/>
                <w:lang w:eastAsia="en-US"/>
              </w:rPr>
              <w:t>”</w:t>
            </w:r>
            <w:r w:rsidRPr="00D65B3F">
              <w:rPr>
                <w:rFonts w:ascii="Times New Roman" w:hAnsi="Times New Roman" w:cs="Times New Roman"/>
                <w:bCs/>
                <w:i/>
                <w:szCs w:val="24"/>
              </w:rPr>
              <w:t xml:space="preserve"> </w:t>
            </w:r>
          </w:p>
        </w:tc>
        <w:tc>
          <w:tcPr>
            <w:tcW w:w="3686" w:type="dxa"/>
          </w:tcPr>
          <w:p w14:paraId="12CA3270"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0174098A"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71AF51BA" w14:textId="77777777" w:rsidR="007B6387" w:rsidRDefault="007B6387" w:rsidP="0042202B">
            <w:pPr>
              <w:rPr>
                <w:rFonts w:cstheme="minorHAnsi"/>
                <w:b/>
              </w:rPr>
            </w:pPr>
          </w:p>
          <w:p w14:paraId="6DDF5277"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0F5DD65" w14:textId="5B9EAF13" w:rsidR="007B6387" w:rsidRPr="00D65B3F" w:rsidRDefault="007B6387" w:rsidP="0042202B">
            <w:pPr>
              <w:rPr>
                <w:rFonts w:cstheme="minorHAnsi"/>
                <w:b/>
              </w:rPr>
            </w:pPr>
          </w:p>
        </w:tc>
      </w:tr>
      <w:tr w:rsidR="0059404D" w:rsidRPr="00F515D6" w14:paraId="30C0EDA2" w14:textId="533B5A36" w:rsidTr="00D76FE7">
        <w:tc>
          <w:tcPr>
            <w:tcW w:w="562" w:type="dxa"/>
          </w:tcPr>
          <w:p w14:paraId="03017403" w14:textId="13ED8751" w:rsidR="0059404D" w:rsidRPr="00920358" w:rsidRDefault="0059404D" w:rsidP="0042202B">
            <w:pPr>
              <w:rPr>
                <w:rFonts w:cstheme="minorHAnsi"/>
                <w:b/>
              </w:rPr>
            </w:pPr>
            <w:r w:rsidRPr="00920358">
              <w:rPr>
                <w:rFonts w:cstheme="minorHAnsi"/>
                <w:b/>
              </w:rPr>
              <w:lastRenderedPageBreak/>
              <w:t>16</w:t>
            </w:r>
          </w:p>
        </w:tc>
        <w:tc>
          <w:tcPr>
            <w:tcW w:w="993" w:type="dxa"/>
          </w:tcPr>
          <w:p w14:paraId="69CC45C5" w14:textId="315E4854" w:rsidR="0059404D" w:rsidRPr="00920358" w:rsidRDefault="0059404D" w:rsidP="0042202B">
            <w:pPr>
              <w:rPr>
                <w:rFonts w:cstheme="minorHAnsi"/>
                <w:b/>
              </w:rPr>
            </w:pPr>
            <w:r w:rsidRPr="00920358">
              <w:rPr>
                <w:rFonts w:cstheme="minorHAnsi"/>
                <w:b/>
              </w:rPr>
              <w:t>RCL</w:t>
            </w:r>
          </w:p>
        </w:tc>
        <w:tc>
          <w:tcPr>
            <w:tcW w:w="1701" w:type="dxa"/>
          </w:tcPr>
          <w:p w14:paraId="5C9D76A0" w14:textId="20183678" w:rsidR="0059404D" w:rsidRPr="00920358" w:rsidRDefault="0059404D" w:rsidP="0042202B">
            <w:pPr>
              <w:rPr>
                <w:rFonts w:cstheme="minorHAnsi"/>
                <w:b/>
              </w:rPr>
            </w:pPr>
            <w:r w:rsidRPr="00920358">
              <w:rPr>
                <w:rFonts w:cstheme="minorHAnsi"/>
                <w:b/>
              </w:rPr>
              <w:t>Art. 68ze ust. 6 UH</w:t>
            </w:r>
          </w:p>
        </w:tc>
        <w:tc>
          <w:tcPr>
            <w:tcW w:w="5953" w:type="dxa"/>
          </w:tcPr>
          <w:p w14:paraId="1FDCC3B9" w14:textId="02685973" w:rsidR="0059404D" w:rsidRPr="00920358" w:rsidRDefault="0059404D" w:rsidP="0042202B">
            <w:pPr>
              <w:widowControl w:val="0"/>
              <w:numPr>
                <w:ilvl w:val="0"/>
                <w:numId w:val="5"/>
              </w:numPr>
              <w:tabs>
                <w:tab w:val="left" w:pos="790"/>
              </w:tabs>
              <w:ind w:hanging="567"/>
              <w:rPr>
                <w:rFonts w:cstheme="minorHAnsi"/>
                <w:b/>
              </w:rPr>
            </w:pPr>
            <w:r w:rsidRPr="00920358">
              <w:rPr>
                <w:rFonts w:cstheme="minorHAnsi"/>
                <w:b/>
              </w:rPr>
              <w:t>Z projektowanego brzmienia art. 68ze ust. 6 ustawy (art. 1 pkt 10 projektu) wynika, że Dyrektor TDT jako organ nadzoru rynku na podstawie wyników przeprowadzonych czynności wyjaśniających i przeprowadzonych w danej sprawie kontroli wszczyna postępowanie, które kończy się m.in. wydaniem decyzji w sprawie stwierdzenia niezgodności pojazdu, przedmiotu wyposażenia lub części z wymaganiami lub stwarzania przez nie ryzyka. Stosownie do zasady określoności przepisów prawa należałoby uzupełnić ten przepis, określając w jakich przypadkach jest wydawana ww. decyzja.</w:t>
            </w:r>
          </w:p>
        </w:tc>
        <w:tc>
          <w:tcPr>
            <w:tcW w:w="3827" w:type="dxa"/>
          </w:tcPr>
          <w:p w14:paraId="2DB05A3B" w14:textId="27D647EF" w:rsidR="0059404D" w:rsidRDefault="0059404D" w:rsidP="0042202B">
            <w:pPr>
              <w:rPr>
                <w:rFonts w:cstheme="minorHAnsi"/>
                <w:b/>
              </w:rPr>
            </w:pPr>
            <w:r w:rsidRPr="00920358">
              <w:rPr>
                <w:rFonts w:cstheme="minorHAnsi"/>
                <w:b/>
              </w:rPr>
              <w:t>Uwaga uwzględniona – doprecyzowano przepis</w:t>
            </w:r>
            <w:r>
              <w:rPr>
                <w:rFonts w:cstheme="minorHAnsi"/>
                <w:b/>
              </w:rPr>
              <w:t>, iż chodzi o negatywne wyniki przeprowadzonych czynności wyjaśniających i kontroli</w:t>
            </w:r>
            <w:r w:rsidRPr="00920358">
              <w:rPr>
                <w:rFonts w:cstheme="minorHAnsi"/>
                <w:b/>
              </w:rPr>
              <w:t xml:space="preserve">. </w:t>
            </w:r>
          </w:p>
          <w:p w14:paraId="62926973" w14:textId="77777777" w:rsidR="0059404D" w:rsidRPr="00920358" w:rsidRDefault="0059404D" w:rsidP="0042202B">
            <w:pPr>
              <w:rPr>
                <w:rFonts w:cstheme="minorHAnsi"/>
                <w:b/>
              </w:rPr>
            </w:pPr>
          </w:p>
          <w:p w14:paraId="7AF8AAE4" w14:textId="7CCB7EDB" w:rsidR="0059404D" w:rsidRPr="006601A7"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F90C7B">
              <w:rPr>
                <w:rFonts w:asciiTheme="minorHAnsi" w:eastAsiaTheme="minorHAnsi" w:hAnsiTheme="minorHAnsi" w:cstheme="minorHAnsi"/>
                <w:b/>
                <w:i/>
                <w:sz w:val="22"/>
                <w:szCs w:val="22"/>
                <w:lang w:eastAsia="en-US"/>
              </w:rPr>
              <w:t>„Art. 68ze ust. 6 Dyrektor TDT jako organ nadzoru rynku na podstawie negatywnych wyników przeprowadzonych czynności wyjaśniających i przeprowadzonych w danej sprawie kontroli wszczyna postępowanie, zakończone wydaniem decyzji administracyjnej w sprawie stwierdzenia niezgodności pojazdu, przedmiotu wyposażenia lub części z wymaganiami technicznymi lub stwarzania przez nie poważnego ryzyka.”</w:t>
            </w:r>
          </w:p>
        </w:tc>
        <w:tc>
          <w:tcPr>
            <w:tcW w:w="3686" w:type="dxa"/>
          </w:tcPr>
          <w:p w14:paraId="2AF369E6"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587A51F8"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2098507C" w14:textId="77777777" w:rsidR="007B6387" w:rsidRDefault="007B6387" w:rsidP="0042202B">
            <w:pPr>
              <w:rPr>
                <w:rFonts w:cstheme="minorHAnsi"/>
                <w:b/>
              </w:rPr>
            </w:pPr>
          </w:p>
          <w:p w14:paraId="0E5474C6"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2700A063" w14:textId="67A784A3" w:rsidR="007B6387" w:rsidRPr="00920358" w:rsidRDefault="007B6387" w:rsidP="0042202B">
            <w:pPr>
              <w:rPr>
                <w:rFonts w:cstheme="minorHAnsi"/>
                <w:b/>
              </w:rPr>
            </w:pPr>
          </w:p>
        </w:tc>
      </w:tr>
      <w:tr w:rsidR="0059404D" w:rsidRPr="00F515D6" w14:paraId="13093D9F" w14:textId="5E15B67A" w:rsidTr="00D76FE7">
        <w:tc>
          <w:tcPr>
            <w:tcW w:w="562" w:type="dxa"/>
          </w:tcPr>
          <w:p w14:paraId="74691C9E" w14:textId="5E232C97" w:rsidR="0059404D" w:rsidRPr="00920358" w:rsidRDefault="0059404D" w:rsidP="0042202B">
            <w:pPr>
              <w:rPr>
                <w:rFonts w:cstheme="minorHAnsi"/>
                <w:b/>
              </w:rPr>
            </w:pPr>
            <w:r w:rsidRPr="00920358">
              <w:rPr>
                <w:rFonts w:cstheme="minorHAnsi"/>
                <w:b/>
              </w:rPr>
              <w:t>17</w:t>
            </w:r>
          </w:p>
        </w:tc>
        <w:tc>
          <w:tcPr>
            <w:tcW w:w="993" w:type="dxa"/>
          </w:tcPr>
          <w:p w14:paraId="7F7BBF26" w14:textId="31DD040F" w:rsidR="0059404D" w:rsidRPr="00920358" w:rsidRDefault="0059404D" w:rsidP="0042202B">
            <w:pPr>
              <w:rPr>
                <w:rFonts w:cstheme="minorHAnsi"/>
                <w:b/>
              </w:rPr>
            </w:pPr>
            <w:r w:rsidRPr="00920358">
              <w:rPr>
                <w:rFonts w:cstheme="minorHAnsi"/>
                <w:b/>
              </w:rPr>
              <w:t>RCL</w:t>
            </w:r>
          </w:p>
        </w:tc>
        <w:tc>
          <w:tcPr>
            <w:tcW w:w="1701" w:type="dxa"/>
          </w:tcPr>
          <w:p w14:paraId="4961086B" w14:textId="047D4535" w:rsidR="0059404D" w:rsidRPr="00920358" w:rsidRDefault="0059404D" w:rsidP="0042202B">
            <w:pPr>
              <w:rPr>
                <w:rFonts w:cstheme="minorHAnsi"/>
                <w:b/>
              </w:rPr>
            </w:pPr>
            <w:r w:rsidRPr="00920358">
              <w:rPr>
                <w:rFonts w:cstheme="minorHAnsi"/>
                <w:b/>
              </w:rPr>
              <w:t>Art. 71 ust. 3 pkt 4 UH</w:t>
            </w:r>
          </w:p>
        </w:tc>
        <w:tc>
          <w:tcPr>
            <w:tcW w:w="5953" w:type="dxa"/>
          </w:tcPr>
          <w:p w14:paraId="2A8CD534" w14:textId="68E41919" w:rsidR="0059404D" w:rsidRPr="00920358" w:rsidRDefault="0059404D" w:rsidP="0042202B">
            <w:pPr>
              <w:widowControl w:val="0"/>
              <w:numPr>
                <w:ilvl w:val="0"/>
                <w:numId w:val="5"/>
              </w:numPr>
              <w:tabs>
                <w:tab w:val="left" w:pos="790"/>
              </w:tabs>
              <w:ind w:hanging="567"/>
              <w:rPr>
                <w:rFonts w:cstheme="minorHAnsi"/>
                <w:b/>
              </w:rPr>
            </w:pPr>
            <w:r w:rsidRPr="00920358">
              <w:rPr>
                <w:rFonts w:cstheme="minorHAnsi"/>
                <w:b/>
              </w:rPr>
              <w:t>W art. 1 pkt 12 projektu projektowany art. 71 ust. 3 pkt 4 ustawy, zgodnie z którym Dyrektor TDT jako organ nadzoru rynku zobowiązuje podmiot gospodarczy do informowania o postępie w realizacji akcji serwisowych co najmniej raz na kwartał, należy doprecyzować przez wskazanie kogo podmiot gospodarczy ma informować o postępie w realizacji akcji serwisowych.</w:t>
            </w:r>
          </w:p>
        </w:tc>
        <w:tc>
          <w:tcPr>
            <w:tcW w:w="3827" w:type="dxa"/>
          </w:tcPr>
          <w:p w14:paraId="1AB4FC7C" w14:textId="7FB543C4" w:rsidR="0059404D" w:rsidRDefault="0059404D" w:rsidP="0042202B">
            <w:pPr>
              <w:rPr>
                <w:rFonts w:cstheme="minorHAnsi"/>
                <w:b/>
              </w:rPr>
            </w:pPr>
            <w:r w:rsidRPr="00920358">
              <w:rPr>
                <w:rFonts w:cstheme="minorHAnsi"/>
                <w:b/>
              </w:rPr>
              <w:t>Uwaga uwzględniona – doprecyzowano przepis</w:t>
            </w:r>
            <w:r>
              <w:rPr>
                <w:rFonts w:cstheme="minorHAnsi"/>
                <w:b/>
              </w:rPr>
              <w:t>:</w:t>
            </w:r>
          </w:p>
          <w:p w14:paraId="086FE276" w14:textId="1321FA3F" w:rsidR="0059404D" w:rsidRPr="009100BA" w:rsidRDefault="0059404D" w:rsidP="0042202B">
            <w:pPr>
              <w:pStyle w:val="ZUSTzmustartykuempunktem"/>
              <w:keepNext/>
              <w:spacing w:line="240" w:lineRule="auto"/>
              <w:ind w:left="0" w:firstLine="0"/>
              <w:jc w:val="left"/>
              <w:rPr>
                <w:rFonts w:asciiTheme="minorHAnsi" w:eastAsiaTheme="minorHAnsi" w:hAnsiTheme="minorHAnsi" w:cstheme="minorHAnsi"/>
                <w:b/>
                <w:i/>
                <w:sz w:val="22"/>
                <w:szCs w:val="22"/>
                <w:lang w:eastAsia="en-US"/>
              </w:rPr>
            </w:pPr>
            <w:r w:rsidRPr="00D65B3F">
              <w:rPr>
                <w:rFonts w:asciiTheme="minorHAnsi" w:eastAsiaTheme="minorHAnsi" w:hAnsiTheme="minorHAnsi" w:cstheme="minorHAnsi"/>
                <w:b/>
                <w:i/>
                <w:sz w:val="22"/>
                <w:szCs w:val="22"/>
                <w:lang w:eastAsia="en-US"/>
              </w:rPr>
              <w:t>„</w:t>
            </w:r>
            <w:r>
              <w:rPr>
                <w:rFonts w:asciiTheme="minorHAnsi" w:eastAsiaTheme="minorHAnsi" w:hAnsiTheme="minorHAnsi" w:cstheme="minorHAnsi"/>
                <w:b/>
                <w:i/>
                <w:sz w:val="22"/>
                <w:szCs w:val="22"/>
                <w:lang w:eastAsia="en-US"/>
              </w:rPr>
              <w:t xml:space="preserve">4. </w:t>
            </w:r>
            <w:r w:rsidRPr="00D65B3F">
              <w:rPr>
                <w:rFonts w:asciiTheme="minorHAnsi" w:eastAsiaTheme="minorHAnsi" w:hAnsiTheme="minorHAnsi" w:cstheme="minorHAnsi"/>
                <w:b/>
                <w:i/>
                <w:sz w:val="22"/>
                <w:szCs w:val="22"/>
                <w:lang w:eastAsia="en-US"/>
              </w:rPr>
              <w:t xml:space="preserve">Po otrzymaniu powiadomienia, o którym mowa w ust. 2, oraz planu działań, o którym mowa w ust. 3 pkt 1, Dyrektor TDT jako organ nadzoru rynku: </w:t>
            </w:r>
          </w:p>
          <w:p w14:paraId="4A53FC77" w14:textId="7D70C2B1" w:rsidR="0059404D" w:rsidRPr="001B4A27"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D65B3F">
              <w:rPr>
                <w:rFonts w:asciiTheme="minorHAnsi" w:eastAsiaTheme="minorHAnsi" w:hAnsiTheme="minorHAnsi" w:cstheme="minorHAnsi"/>
                <w:b/>
                <w:bCs w:val="0"/>
                <w:i/>
                <w:sz w:val="22"/>
                <w:szCs w:val="22"/>
                <w:lang w:eastAsia="en-US"/>
              </w:rPr>
              <w:lastRenderedPageBreak/>
              <w:t>4)</w:t>
            </w:r>
            <w:r w:rsidRPr="00D65B3F">
              <w:rPr>
                <w:rFonts w:asciiTheme="minorHAnsi" w:eastAsiaTheme="minorHAnsi" w:hAnsiTheme="minorHAnsi" w:cstheme="minorHAnsi"/>
                <w:b/>
                <w:bCs w:val="0"/>
                <w:i/>
                <w:sz w:val="22"/>
                <w:szCs w:val="22"/>
                <w:lang w:eastAsia="en-US"/>
              </w:rPr>
              <w:tab/>
              <w:t xml:space="preserve">zobowiązuje podmiot gospodarczy do informowania Dyrektora TDT </w:t>
            </w:r>
            <w:r>
              <w:rPr>
                <w:rFonts w:asciiTheme="minorHAnsi" w:eastAsiaTheme="minorHAnsi" w:hAnsiTheme="minorHAnsi" w:cstheme="minorHAnsi"/>
                <w:b/>
                <w:bCs w:val="0"/>
                <w:i/>
                <w:sz w:val="22"/>
                <w:szCs w:val="22"/>
                <w:lang w:eastAsia="en-US"/>
              </w:rPr>
              <w:t xml:space="preserve">jako organ nadzoru rynku </w:t>
            </w:r>
            <w:r w:rsidRPr="00D65B3F">
              <w:rPr>
                <w:rFonts w:asciiTheme="minorHAnsi" w:eastAsiaTheme="minorHAnsi" w:hAnsiTheme="minorHAnsi" w:cstheme="minorHAnsi"/>
                <w:b/>
                <w:bCs w:val="0"/>
                <w:i/>
                <w:sz w:val="22"/>
                <w:szCs w:val="22"/>
                <w:lang w:eastAsia="en-US"/>
              </w:rPr>
              <w:t>o postępie w realizacji akcji serwisowych co najmniej raz na kwartał.</w:t>
            </w:r>
            <w:r>
              <w:rPr>
                <w:rFonts w:asciiTheme="minorHAnsi" w:eastAsiaTheme="minorHAnsi" w:hAnsiTheme="minorHAnsi" w:cstheme="minorHAnsi"/>
                <w:b/>
                <w:bCs w:val="0"/>
                <w:i/>
                <w:sz w:val="22"/>
                <w:szCs w:val="22"/>
                <w:lang w:eastAsia="en-US"/>
              </w:rPr>
              <w:t>”</w:t>
            </w:r>
          </w:p>
        </w:tc>
        <w:tc>
          <w:tcPr>
            <w:tcW w:w="3686" w:type="dxa"/>
          </w:tcPr>
          <w:p w14:paraId="40F88BC9"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6B14ECDD"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696BA848" w14:textId="77777777" w:rsidR="007B6387" w:rsidRDefault="007B6387" w:rsidP="0042202B">
            <w:pPr>
              <w:rPr>
                <w:rFonts w:cstheme="minorHAnsi"/>
                <w:b/>
              </w:rPr>
            </w:pPr>
          </w:p>
          <w:p w14:paraId="6223B8A8"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02064F39" w14:textId="1CCFC2AA" w:rsidR="007B6387" w:rsidRPr="00920358" w:rsidRDefault="007B6387" w:rsidP="0042202B">
            <w:pPr>
              <w:rPr>
                <w:rFonts w:cstheme="minorHAnsi"/>
                <w:b/>
              </w:rPr>
            </w:pPr>
          </w:p>
        </w:tc>
      </w:tr>
      <w:tr w:rsidR="0059404D" w:rsidRPr="00F515D6" w14:paraId="26018B45" w14:textId="4719FC92" w:rsidTr="00D76FE7">
        <w:tc>
          <w:tcPr>
            <w:tcW w:w="562" w:type="dxa"/>
          </w:tcPr>
          <w:p w14:paraId="648DAED0" w14:textId="702F1D1C" w:rsidR="0059404D" w:rsidRPr="00FC4BF9" w:rsidRDefault="0059404D" w:rsidP="0042202B">
            <w:pPr>
              <w:rPr>
                <w:rFonts w:cstheme="minorHAnsi"/>
                <w:b/>
              </w:rPr>
            </w:pPr>
            <w:r w:rsidRPr="00FC4BF9">
              <w:rPr>
                <w:rFonts w:cstheme="minorHAnsi"/>
                <w:b/>
              </w:rPr>
              <w:t>18</w:t>
            </w:r>
          </w:p>
        </w:tc>
        <w:tc>
          <w:tcPr>
            <w:tcW w:w="993" w:type="dxa"/>
          </w:tcPr>
          <w:p w14:paraId="582AC481" w14:textId="0F7D1C3D" w:rsidR="0059404D" w:rsidRPr="00E622EA" w:rsidRDefault="0059404D" w:rsidP="0042202B">
            <w:pPr>
              <w:rPr>
                <w:rFonts w:cstheme="minorHAnsi"/>
                <w:b/>
              </w:rPr>
            </w:pPr>
            <w:r w:rsidRPr="00FC4BF9">
              <w:rPr>
                <w:rFonts w:cstheme="minorHAnsi"/>
                <w:b/>
              </w:rPr>
              <w:t>RCL</w:t>
            </w:r>
          </w:p>
          <w:p w14:paraId="2A78484A" w14:textId="7F162457" w:rsidR="0059404D" w:rsidRPr="00E622EA" w:rsidRDefault="0059404D" w:rsidP="0042202B">
            <w:pPr>
              <w:rPr>
                <w:rFonts w:cstheme="minorHAnsi"/>
                <w:b/>
                <w:color w:val="00B050"/>
              </w:rPr>
            </w:pPr>
            <w:r>
              <w:rPr>
                <w:rFonts w:cstheme="minorHAnsi"/>
                <w:b/>
                <w:color w:val="00B050"/>
              </w:rPr>
              <w:t>+ uwaga 102 MFIG</w:t>
            </w:r>
          </w:p>
        </w:tc>
        <w:tc>
          <w:tcPr>
            <w:tcW w:w="1701" w:type="dxa"/>
          </w:tcPr>
          <w:p w14:paraId="637A19D8" w14:textId="4FD65650" w:rsidR="0059404D" w:rsidRPr="00FC4BF9" w:rsidRDefault="0059404D" w:rsidP="0042202B">
            <w:pPr>
              <w:rPr>
                <w:rFonts w:cstheme="minorHAnsi"/>
                <w:b/>
              </w:rPr>
            </w:pPr>
            <w:r w:rsidRPr="00FC4BF9">
              <w:rPr>
                <w:rFonts w:cstheme="minorHAnsi"/>
                <w:b/>
              </w:rPr>
              <w:t>Art. 71a i 71b UH</w:t>
            </w:r>
          </w:p>
        </w:tc>
        <w:tc>
          <w:tcPr>
            <w:tcW w:w="5953" w:type="dxa"/>
          </w:tcPr>
          <w:p w14:paraId="5918E74A" w14:textId="77777777" w:rsidR="0059404D" w:rsidRPr="00FC4BF9" w:rsidRDefault="0059404D" w:rsidP="0042202B">
            <w:pPr>
              <w:widowControl w:val="0"/>
              <w:numPr>
                <w:ilvl w:val="0"/>
                <w:numId w:val="5"/>
              </w:numPr>
              <w:ind w:hanging="567"/>
              <w:rPr>
                <w:rFonts w:cstheme="minorHAnsi"/>
                <w:b/>
              </w:rPr>
            </w:pPr>
            <w:r w:rsidRPr="00FC4BF9">
              <w:rPr>
                <w:rFonts w:cstheme="minorHAnsi"/>
                <w:b/>
              </w:rPr>
              <w:t xml:space="preserve">Zauważa się, że proponowane w art. 1 pkt 13 projektu przepisy o administracyjnych karach pieniężnych muszą być jasne i precyzyjne. Należy wskazać, że odpowiedzialność karna i administracyjna musi być oparta co najmniej na zasadzie określoności czynów zabronionych pod groźbą kary. Reguła ta, wskazana w art. 42 Konstytucji RP, nakazuje ustawodawcy takie określenie czynu zabronionego (jego znamion), aby zarówno dla adresata normy prawnej, jak i organów stosujących prawo i dokonujących „odkodowania” treści regulacji w drodze wykładni normy, nie budziło wątpliwości to, czy określone zachowanie </w:t>
            </w:r>
            <w:r w:rsidRPr="00FC4BF9">
              <w:rPr>
                <w:rStyle w:val="Teksttreci2Kursywa"/>
                <w:rFonts w:asciiTheme="minorHAnsi" w:eastAsiaTheme="minorHAnsi" w:hAnsiTheme="minorHAnsi" w:cstheme="minorHAnsi"/>
                <w:b/>
                <w:sz w:val="22"/>
                <w:szCs w:val="22"/>
              </w:rPr>
              <w:t>in concreto</w:t>
            </w:r>
            <w:r w:rsidRPr="00FC4BF9">
              <w:rPr>
                <w:rFonts w:cstheme="minorHAnsi"/>
                <w:b/>
              </w:rPr>
              <w:t xml:space="preserve"> wypełnia te znamiona. W związku z tym:</w:t>
            </w:r>
          </w:p>
          <w:p w14:paraId="2B6DEDA2" w14:textId="2906A7AD" w:rsidR="0059404D" w:rsidRPr="00FC4BF9" w:rsidRDefault="0059404D" w:rsidP="0042202B">
            <w:pPr>
              <w:widowControl w:val="0"/>
              <w:numPr>
                <w:ilvl w:val="0"/>
                <w:numId w:val="7"/>
              </w:numPr>
              <w:tabs>
                <w:tab w:val="left" w:pos="1153"/>
              </w:tabs>
              <w:ind w:hanging="400"/>
              <w:rPr>
                <w:rFonts w:cstheme="minorHAnsi"/>
                <w:b/>
              </w:rPr>
            </w:pPr>
            <w:r w:rsidRPr="00FC4BF9">
              <w:rPr>
                <w:rFonts w:cstheme="minorHAnsi"/>
                <w:b/>
              </w:rPr>
              <w:t>1) przepis art. 71a ust. 1 pkt 1, zgodnie z którym administracyjnej karze pieniężnej podlega podmiot gospodarczy, który składa fałszywe oświadczenia lub dokumenty w toku procedur homologacyjnych lub nadzoru rynku lub podczas wprowadzania środków naprawczych, o których mowa w rozdziale 6, wymaga odpowiedniej poprawy, gdyż w rozdziale 6 nie występuje określenie „środki naprawcze” oraz nie ma w nim mowy o składaniu oświadczeń pod rygorem odpowiedzialności karnej;</w:t>
            </w:r>
          </w:p>
          <w:p w14:paraId="33421AF9" w14:textId="2FC475C5" w:rsidR="0059404D" w:rsidRPr="00FC4BF9" w:rsidRDefault="0059404D" w:rsidP="0042202B">
            <w:pPr>
              <w:widowControl w:val="0"/>
              <w:numPr>
                <w:ilvl w:val="0"/>
                <w:numId w:val="7"/>
              </w:numPr>
              <w:tabs>
                <w:tab w:val="left" w:pos="1153"/>
              </w:tabs>
              <w:ind w:hanging="400"/>
              <w:rPr>
                <w:rFonts w:cstheme="minorHAnsi"/>
                <w:b/>
              </w:rPr>
            </w:pPr>
            <w:r w:rsidRPr="00FC4BF9">
              <w:rPr>
                <w:rFonts w:cstheme="minorHAnsi"/>
                <w:b/>
              </w:rPr>
              <w:t xml:space="preserve">2) art. 71a ust. 1 pkt 1 budzi także wątpliwości w zakresie, w </w:t>
            </w:r>
            <w:r w:rsidRPr="00FC4BF9">
              <w:rPr>
                <w:rFonts w:cstheme="minorHAnsi"/>
                <w:b/>
              </w:rPr>
              <w:lastRenderedPageBreak/>
              <w:t xml:space="preserve">jakim przewiduje podwójne karanie za składanie fałszywych oświadczeń, tj. wskazuje, że niezależnie od odpowiedzialności karnej wynikającej z Kodeksu karnego za składanie fałszywych oświadczeń na podmiot, który złożył fałszywe oświadczenie opatrzone rygorem odpowiedzialności karnej, będzie nakładana administracyjna kara pieniężna; RCL zauważa, że kwestia podwójnego karania wymaga szczególnego wyjaśnienia i uzasadnienia w kontekście zasady </w:t>
            </w:r>
            <w:r w:rsidRPr="00FC4BF9">
              <w:rPr>
                <w:rStyle w:val="Teksttreci2Kursywa"/>
                <w:rFonts w:asciiTheme="minorHAnsi" w:eastAsiaTheme="minorHAnsi" w:hAnsiTheme="minorHAnsi" w:cstheme="minorHAnsi"/>
                <w:b/>
                <w:sz w:val="22"/>
                <w:szCs w:val="22"/>
              </w:rPr>
              <w:t>ne bis in idem</w:t>
            </w:r>
            <w:r w:rsidRPr="00FC4BF9">
              <w:rPr>
                <w:rFonts w:cstheme="minorHAnsi"/>
                <w:b/>
              </w:rPr>
              <w:t xml:space="preserve"> i proporcjonalności takiej reakcji państwa na naruszenie prawa, która skutkuje kumulacją odpowiedzialności, a także orzecznictwa Trybunału Konstytucyjnego, który odnosił się już do kwestii podwójnego karania i warunków jego dopuszczalności; w szczególności zasadne wydaje się wykazanie, że proponowane rozwiązanie jest proporcjonalną i uzasadnioną reakcją państwa na naruszenie prawa oraz wyjaśnienie, jakie funkcje pełnią proponowane kary wynikające z różnych reżimów prawnych;</w:t>
            </w:r>
          </w:p>
          <w:p w14:paraId="0A118200" w14:textId="763A3865" w:rsidR="0059404D" w:rsidRPr="00FC4BF9" w:rsidRDefault="0059404D" w:rsidP="0042202B">
            <w:pPr>
              <w:widowControl w:val="0"/>
              <w:numPr>
                <w:ilvl w:val="0"/>
                <w:numId w:val="7"/>
              </w:numPr>
              <w:tabs>
                <w:tab w:val="left" w:pos="1138"/>
              </w:tabs>
              <w:ind w:hanging="420"/>
              <w:rPr>
                <w:rFonts w:cstheme="minorHAnsi"/>
                <w:b/>
              </w:rPr>
            </w:pPr>
            <w:r w:rsidRPr="00FC4BF9">
              <w:rPr>
                <w:rFonts w:cstheme="minorHAnsi"/>
                <w:b/>
              </w:rPr>
              <w:t>3) zauważa się, że w art. 71a ust. 5 pkt 7 występuje odesłanie do art. 4-7 rozporządzenia 715/2007, podczas gdy art. 6 i art. 7 tego rozporządzenia już nie obowiązują; analogiczna uwaga dotyczy ust. 7 pkt 4 i ust. 9 pkt 4, a także art. 71a ust. 5 pkt 10, ust. 7 pkt 6 i ust. 9 pkt 6, w których występuje odesłanie do art. 4-7 rozporządzenia 595/2009, podczas gdy art. 6 tego rozporządzenia już nie obowiązuje;</w:t>
            </w:r>
          </w:p>
          <w:p w14:paraId="5CB4EEAC" w14:textId="457816D7" w:rsidR="0059404D" w:rsidRPr="00FC4BF9" w:rsidRDefault="0059404D" w:rsidP="0042202B">
            <w:pPr>
              <w:widowControl w:val="0"/>
              <w:numPr>
                <w:ilvl w:val="0"/>
                <w:numId w:val="7"/>
              </w:numPr>
              <w:tabs>
                <w:tab w:val="left" w:pos="1138"/>
              </w:tabs>
              <w:ind w:hanging="420"/>
              <w:rPr>
                <w:rFonts w:cstheme="minorHAnsi"/>
                <w:b/>
              </w:rPr>
            </w:pPr>
            <w:r w:rsidRPr="00FC4BF9">
              <w:rPr>
                <w:rFonts w:cstheme="minorHAnsi"/>
                <w:b/>
              </w:rPr>
              <w:t xml:space="preserve">4) że zgodnie z § 75 Zasad techniki prawodawczej znamiona czynu zabronionego określa się w sposób wyczerpujący, bez odsyłania do nakazów lub zakazów zawartych w innych przepisach, w tym dających się bezpośrednio stosować postanowień aktów normatywnych ustanowionych przez </w:t>
            </w:r>
            <w:r w:rsidRPr="00FC4BF9">
              <w:rPr>
                <w:rFonts w:cstheme="minorHAnsi"/>
                <w:b/>
              </w:rPr>
              <w:lastRenderedPageBreak/>
              <w:t>organy międzynarodowe, to należy jednak zauważyć, że odesłanie takie można zastosować, gdy bezprawność czynu polega na naruszeniu nakazów lub zakazów wyraźnie sformułowanych w przepisach, do których następuje odesłanie; w związku z tym art. 71a ust. 9 należy skonstruować, stosując odesłanie do konkretnych przepisów ustawy i konkretnych przepisów rozporządzeń Unii Europejskiej; analogiczna uwaga dotycząca odesłania do konkretnych przepisów ustawy dotyczy art. 71a ust. 12 pkt 4; ponadto w art. 71a ust. 9 we wprowadzeniu do wyliczenia należy skreślić wyrazy „w szczególności”, bowiem czyny, za które grozi administracyjna kara pieniężna, nie mogą być wymienione w katalogu otwartym;</w:t>
            </w:r>
          </w:p>
          <w:p w14:paraId="243530ED" w14:textId="0B2C4D12" w:rsidR="0059404D" w:rsidRPr="00FC4BF9" w:rsidRDefault="0059404D" w:rsidP="0042202B">
            <w:pPr>
              <w:widowControl w:val="0"/>
              <w:numPr>
                <w:ilvl w:val="0"/>
                <w:numId w:val="7"/>
              </w:numPr>
              <w:tabs>
                <w:tab w:val="left" w:pos="1138"/>
              </w:tabs>
              <w:ind w:hanging="420"/>
              <w:rPr>
                <w:rFonts w:cstheme="minorHAnsi"/>
                <w:b/>
              </w:rPr>
            </w:pPr>
            <w:r w:rsidRPr="00FC4BF9">
              <w:rPr>
                <w:rFonts w:cstheme="minorHAnsi"/>
                <w:b/>
              </w:rPr>
              <w:t>5) zastrzeżenia budzi ust. 14 pkt 3, który wskazuje, że podmiot dokonujący montażu dodatkowej instalacji zasilania gazem pojazdu może być ukarany administracyjna karą pieniężną gdy narusza wymogi wynikające z przepisów wydanych na podstawie art. 58; konieczne jest doprecyzowanie w projektowanym przepisie, o jakie wymogi chodzi;</w:t>
            </w:r>
          </w:p>
          <w:p w14:paraId="5E3E60F0" w14:textId="62FDC1B5" w:rsidR="0059404D" w:rsidRPr="00FC4BF9" w:rsidRDefault="0059404D" w:rsidP="0042202B">
            <w:pPr>
              <w:widowControl w:val="0"/>
              <w:numPr>
                <w:ilvl w:val="0"/>
                <w:numId w:val="7"/>
              </w:numPr>
              <w:tabs>
                <w:tab w:val="left" w:pos="1226"/>
              </w:tabs>
              <w:ind w:hanging="400"/>
              <w:rPr>
                <w:rFonts w:cstheme="minorHAnsi"/>
                <w:b/>
              </w:rPr>
            </w:pPr>
            <w:r w:rsidRPr="00FC4BF9">
              <w:rPr>
                <w:rFonts w:cstheme="minorHAnsi"/>
                <w:b/>
              </w:rPr>
              <w:t xml:space="preserve">6) zastrzeżenia budzi art. 71b ust. 1 pkt 2, w którym została przewidziana administracyjna kara pieniężna za nieprzekazanie zbiorczej informacji </w:t>
            </w:r>
            <w:r w:rsidRPr="00FC4BF9">
              <w:rPr>
                <w:rStyle w:val="Teksttreci20"/>
                <w:rFonts w:asciiTheme="minorHAnsi" w:eastAsiaTheme="minorHAnsi" w:hAnsiTheme="minorHAnsi" w:cstheme="minorHAnsi"/>
                <w:b/>
                <w:sz w:val="22"/>
                <w:szCs w:val="22"/>
                <w:u w:val="none"/>
              </w:rPr>
              <w:t>o wysokości naliczonych opłat</w:t>
            </w:r>
            <w:r w:rsidRPr="00FC4BF9">
              <w:rPr>
                <w:rFonts w:cstheme="minorHAnsi"/>
                <w:b/>
              </w:rPr>
              <w:t xml:space="preserve"> w terminie, o którym mowa w art. 68zk ust. 11, podczas gdy w art. 68zk ust. 11 został określony obowiązek przekazywania zbiorczej informacji o </w:t>
            </w:r>
            <w:r w:rsidRPr="00FC4BF9">
              <w:rPr>
                <w:rStyle w:val="Teksttreci20"/>
                <w:rFonts w:asciiTheme="minorHAnsi" w:eastAsiaTheme="minorHAnsi" w:hAnsiTheme="minorHAnsi" w:cstheme="minorHAnsi"/>
                <w:b/>
                <w:sz w:val="22"/>
                <w:szCs w:val="22"/>
                <w:u w:val="none"/>
              </w:rPr>
              <w:t>podmiotach gospodarczych, które wprowadziły do obrotu pojazdy</w:t>
            </w:r>
            <w:r w:rsidRPr="00FC4BF9">
              <w:rPr>
                <w:rFonts w:cstheme="minorHAnsi"/>
                <w:b/>
              </w:rPr>
              <w:t xml:space="preserve">; ponadto termin przekazania informacji, o których mowa w art. 71b ust. 1 pkt 1 i 2, wynika z art. 68zk ust. 15, a nie jak wskazane zostało w ww. przepisach z art. 68zk ust. 10 i 11; </w:t>
            </w:r>
            <w:r w:rsidRPr="00FC4BF9">
              <w:rPr>
                <w:rFonts w:cstheme="minorHAnsi"/>
                <w:b/>
              </w:rPr>
              <w:lastRenderedPageBreak/>
              <w:t>powyższe wymaga więc poprawy.</w:t>
            </w:r>
          </w:p>
        </w:tc>
        <w:tc>
          <w:tcPr>
            <w:tcW w:w="3827" w:type="dxa"/>
          </w:tcPr>
          <w:p w14:paraId="630B9C39" w14:textId="7AAD16D4" w:rsidR="0059404D" w:rsidRPr="00F22AE1" w:rsidRDefault="0059404D" w:rsidP="0042202B">
            <w:pPr>
              <w:rPr>
                <w:rFonts w:eastAsiaTheme="minorEastAsia" w:cstheme="minorHAnsi"/>
                <w:b/>
                <w:bCs/>
                <w:lang w:eastAsia="pl-PL"/>
              </w:rPr>
            </w:pPr>
            <w:r w:rsidRPr="00F22AE1">
              <w:rPr>
                <w:rFonts w:eastAsiaTheme="minorEastAsia" w:cstheme="minorHAnsi"/>
                <w:b/>
                <w:bCs/>
                <w:lang w:eastAsia="pl-PL"/>
              </w:rPr>
              <w:lastRenderedPageBreak/>
              <w:t xml:space="preserve">1) </w:t>
            </w:r>
            <w:r>
              <w:rPr>
                <w:rFonts w:eastAsiaTheme="minorEastAsia" w:cstheme="minorHAnsi"/>
                <w:b/>
                <w:bCs/>
                <w:lang w:eastAsia="pl-PL"/>
              </w:rPr>
              <w:t>u</w:t>
            </w:r>
            <w:r w:rsidRPr="00F22AE1">
              <w:rPr>
                <w:rFonts w:eastAsiaTheme="minorEastAsia" w:cstheme="minorHAnsi"/>
                <w:b/>
                <w:bCs/>
                <w:lang w:eastAsia="pl-PL"/>
              </w:rPr>
              <w:t>waga uwzględniona – doprecyzowano przepis:</w:t>
            </w:r>
          </w:p>
          <w:p w14:paraId="0921CB74" w14:textId="36D1978B" w:rsidR="0059404D" w:rsidRPr="006809EB" w:rsidRDefault="0059404D" w:rsidP="0042202B">
            <w:pPr>
              <w:pStyle w:val="ZARTzmartartykuempunktem"/>
              <w:keepNext/>
              <w:spacing w:line="240" w:lineRule="auto"/>
              <w:ind w:left="0" w:firstLine="0"/>
              <w:jc w:val="left"/>
              <w:rPr>
                <w:rFonts w:asciiTheme="minorHAnsi" w:hAnsiTheme="minorHAnsi" w:cstheme="minorHAnsi"/>
                <w:b/>
                <w:bCs/>
                <w:i/>
                <w:sz w:val="22"/>
                <w:szCs w:val="22"/>
              </w:rPr>
            </w:pPr>
            <w:r w:rsidRPr="006809EB">
              <w:rPr>
                <w:rFonts w:asciiTheme="minorHAnsi" w:hAnsiTheme="minorHAnsi" w:cstheme="minorHAnsi"/>
                <w:b/>
                <w:bCs/>
                <w:i/>
                <w:sz w:val="22"/>
                <w:szCs w:val="22"/>
              </w:rPr>
              <w:t>„Art. 71a. 1. Podmiot gospodarczy, który:</w:t>
            </w:r>
          </w:p>
          <w:p w14:paraId="7086E134" w14:textId="23D9235F"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1)</w:t>
            </w:r>
            <w:r w:rsidRPr="006809EB">
              <w:rPr>
                <w:rFonts w:asciiTheme="minorHAnsi" w:hAnsiTheme="minorHAnsi" w:cstheme="minorHAnsi"/>
                <w:b/>
                <w:i/>
                <w:sz w:val="22"/>
                <w:szCs w:val="22"/>
              </w:rPr>
              <w:tab/>
              <w:t>składa fałszywe oświadczenia lub dokumenty w toku procedur homologacyjnych</w:t>
            </w:r>
            <w:r>
              <w:rPr>
                <w:rFonts w:asciiTheme="minorHAnsi" w:hAnsiTheme="minorHAnsi" w:cstheme="minorHAnsi"/>
                <w:b/>
                <w:i/>
                <w:sz w:val="22"/>
                <w:szCs w:val="22"/>
              </w:rPr>
              <w:t>,</w:t>
            </w:r>
            <w:r w:rsidRPr="006809EB">
              <w:rPr>
                <w:rFonts w:asciiTheme="minorHAnsi" w:hAnsiTheme="minorHAnsi" w:cstheme="minorHAnsi"/>
                <w:b/>
                <w:i/>
                <w:sz w:val="22"/>
                <w:szCs w:val="22"/>
              </w:rPr>
              <w:t xml:space="preserve"> nadzoru rynku lub podczas realizacji działań, o których mowa w rozdziale 6;”</w:t>
            </w:r>
            <w:r>
              <w:rPr>
                <w:rFonts w:asciiTheme="minorHAnsi" w:hAnsiTheme="minorHAnsi" w:cstheme="minorHAnsi"/>
                <w:b/>
                <w:i/>
                <w:sz w:val="22"/>
                <w:szCs w:val="22"/>
              </w:rPr>
              <w:t>.</w:t>
            </w:r>
          </w:p>
          <w:p w14:paraId="2360AF9F" w14:textId="74561452" w:rsidR="0059404D" w:rsidRPr="006809EB" w:rsidRDefault="0059404D" w:rsidP="0042202B">
            <w:pPr>
              <w:rPr>
                <w:rFonts w:eastAsiaTheme="minorEastAsia" w:cstheme="minorHAnsi"/>
                <w:b/>
                <w:bCs/>
                <w:i/>
                <w:lang w:eastAsia="pl-PL"/>
              </w:rPr>
            </w:pPr>
          </w:p>
          <w:p w14:paraId="6CB425BC" w14:textId="787FA539" w:rsidR="0059404D" w:rsidRPr="00F22AE1" w:rsidRDefault="0059404D" w:rsidP="0042202B">
            <w:pPr>
              <w:rPr>
                <w:rFonts w:eastAsiaTheme="minorEastAsia" w:cstheme="minorHAnsi"/>
                <w:b/>
                <w:bCs/>
                <w:lang w:eastAsia="pl-PL"/>
              </w:rPr>
            </w:pPr>
            <w:r w:rsidRPr="00F22AE1">
              <w:rPr>
                <w:rFonts w:eastAsiaTheme="minorEastAsia" w:cstheme="minorHAnsi"/>
                <w:b/>
                <w:bCs/>
                <w:lang w:eastAsia="pl-PL"/>
              </w:rPr>
              <w:t xml:space="preserve">2) uwaga uwzględniona poprzez wykreślenie odpowiedzialności z Kodeksu karnego jako innego rodzaju odpowiedzialności – zastosowanie </w:t>
            </w:r>
            <w:r>
              <w:rPr>
                <w:rFonts w:eastAsiaTheme="minorEastAsia" w:cstheme="minorHAnsi"/>
                <w:b/>
                <w:bCs/>
                <w:lang w:eastAsia="pl-PL"/>
              </w:rPr>
              <w:t xml:space="preserve">w przepisie </w:t>
            </w:r>
            <w:r w:rsidRPr="00F22AE1">
              <w:rPr>
                <w:rFonts w:eastAsiaTheme="minorEastAsia" w:cstheme="minorHAnsi"/>
                <w:b/>
                <w:bCs/>
                <w:lang w:eastAsia="pl-PL"/>
              </w:rPr>
              <w:t>odpowiedzialności administracyjnej</w:t>
            </w:r>
            <w:r>
              <w:rPr>
                <w:rFonts w:eastAsiaTheme="minorEastAsia" w:cstheme="minorHAnsi"/>
                <w:b/>
                <w:bCs/>
                <w:lang w:eastAsia="pl-PL"/>
              </w:rPr>
              <w:t>,</w:t>
            </w:r>
            <w:r w:rsidRPr="00F22AE1">
              <w:rPr>
                <w:rFonts w:eastAsiaTheme="minorEastAsia" w:cstheme="minorHAnsi"/>
                <w:b/>
                <w:bCs/>
                <w:lang w:eastAsia="pl-PL"/>
              </w:rPr>
              <w:t xml:space="preserve"> a nie karnej. </w:t>
            </w:r>
          </w:p>
          <w:p w14:paraId="2EC1E285" w14:textId="63E9A2AB" w:rsidR="0059404D" w:rsidRPr="006809EB" w:rsidRDefault="0059404D" w:rsidP="0042202B">
            <w:pPr>
              <w:rPr>
                <w:rFonts w:eastAsiaTheme="minorEastAsia" w:cstheme="minorHAnsi"/>
                <w:b/>
                <w:bCs/>
                <w:i/>
                <w:lang w:eastAsia="pl-PL"/>
              </w:rPr>
            </w:pPr>
            <w:r w:rsidRPr="006809EB">
              <w:rPr>
                <w:rFonts w:eastAsiaTheme="minorEastAsia" w:cstheme="minorHAnsi"/>
                <w:b/>
                <w:bCs/>
                <w:i/>
                <w:lang w:eastAsia="pl-PL"/>
              </w:rPr>
              <w:t xml:space="preserve"> </w:t>
            </w:r>
          </w:p>
          <w:p w14:paraId="02FBC82D" w14:textId="2A86E1A0" w:rsidR="0059404D" w:rsidRPr="00F22AE1" w:rsidRDefault="0059404D" w:rsidP="0042202B">
            <w:pPr>
              <w:rPr>
                <w:rFonts w:eastAsiaTheme="minorEastAsia" w:cstheme="minorHAnsi"/>
                <w:b/>
                <w:bCs/>
                <w:lang w:eastAsia="pl-PL"/>
              </w:rPr>
            </w:pPr>
            <w:r w:rsidRPr="00F22AE1">
              <w:rPr>
                <w:rFonts w:eastAsiaTheme="minorEastAsia" w:cstheme="minorHAnsi"/>
                <w:b/>
                <w:bCs/>
                <w:lang w:eastAsia="pl-PL"/>
              </w:rPr>
              <w:t>3) uwaga uwzględniona – zmiana przepisów:</w:t>
            </w:r>
          </w:p>
          <w:p w14:paraId="041D300B" w14:textId="666A8603"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lastRenderedPageBreak/>
              <w:t>m.in.</w:t>
            </w:r>
            <w:r>
              <w:rPr>
                <w:rFonts w:asciiTheme="minorHAnsi" w:hAnsiTheme="minorHAnsi" w:cstheme="minorHAnsi"/>
                <w:b/>
                <w:i/>
                <w:sz w:val="22"/>
                <w:szCs w:val="22"/>
              </w:rPr>
              <w:t xml:space="preserve"> </w:t>
            </w:r>
            <w:r w:rsidRPr="006809EB">
              <w:rPr>
                <w:rFonts w:asciiTheme="minorHAnsi" w:hAnsiTheme="minorHAnsi" w:cstheme="minorHAnsi"/>
                <w:b/>
                <w:i/>
                <w:sz w:val="22"/>
                <w:szCs w:val="22"/>
              </w:rPr>
              <w:t>7) art. 4</w:t>
            </w:r>
            <w:r>
              <w:rPr>
                <w:rFonts w:asciiTheme="minorHAnsi" w:hAnsiTheme="minorHAnsi" w:cstheme="minorHAnsi"/>
                <w:b/>
                <w:i/>
                <w:sz w:val="22"/>
                <w:szCs w:val="22"/>
              </w:rPr>
              <w:t xml:space="preserve"> i art. </w:t>
            </w:r>
            <w:r w:rsidRPr="006809EB">
              <w:rPr>
                <w:rFonts w:asciiTheme="minorHAnsi" w:hAnsiTheme="minorHAnsi" w:cstheme="minorHAnsi"/>
                <w:b/>
                <w:i/>
                <w:sz w:val="22"/>
                <w:szCs w:val="22"/>
              </w:rPr>
              <w:t xml:space="preserve">5 </w:t>
            </w:r>
            <w:bookmarkStart w:id="22" w:name="_Hlk207888006"/>
            <w:r w:rsidRPr="006809EB">
              <w:rPr>
                <w:rFonts w:asciiTheme="minorHAnsi" w:hAnsiTheme="minorHAnsi" w:cstheme="minorHAnsi"/>
                <w:b/>
                <w:i/>
                <w:sz w:val="22"/>
                <w:szCs w:val="22"/>
              </w:rPr>
              <w:t>rozporządzenia (WE) nr 715/2007 Parlamentu Europejskiego i Rady z dnia 20 czerwca 2007 r. w sprawie homologacji typu pojazdów silnikowych w odniesieniu do emisji zanieczyszczeń pochodzących z lekkich pojazdów pasażerskich i użytkowych (Euro 5 i Euro 6) oraz w sprawie dostępu do informacji dotyczących naprawy i utrzymania pojazdów (Dz. Urz. UE L 171 z 29.06.2007, str. 1, z późn. zm.</w:t>
            </w:r>
            <w:bookmarkEnd w:id="22"/>
            <w:r w:rsidRPr="006809EB">
              <w:rPr>
                <w:rFonts w:asciiTheme="minorHAnsi" w:hAnsiTheme="minorHAnsi" w:cstheme="minorHAnsi"/>
                <w:b/>
                <w:i/>
                <w:sz w:val="22"/>
                <w:szCs w:val="22"/>
              </w:rPr>
              <w:t>), zwanego dalej „rozporządzeniem 715/2007”;</w:t>
            </w:r>
          </w:p>
          <w:p w14:paraId="08EEF71F" w14:textId="4D83B540"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10)</w:t>
            </w:r>
            <w:r w:rsidRPr="006809EB">
              <w:rPr>
                <w:rFonts w:asciiTheme="minorHAnsi" w:hAnsiTheme="minorHAnsi" w:cstheme="minorHAnsi"/>
                <w:b/>
                <w:i/>
                <w:sz w:val="22"/>
                <w:szCs w:val="22"/>
              </w:rPr>
              <w:tab/>
              <w:t xml:space="preserve"> art. 4</w:t>
            </w:r>
            <w:r>
              <w:rPr>
                <w:rFonts w:asciiTheme="minorHAnsi" w:hAnsiTheme="minorHAnsi" w:cstheme="minorHAnsi"/>
                <w:b/>
                <w:i/>
                <w:sz w:val="22"/>
                <w:szCs w:val="22"/>
              </w:rPr>
              <w:t xml:space="preserve">, art. </w:t>
            </w:r>
            <w:r w:rsidRPr="006809EB">
              <w:rPr>
                <w:rFonts w:asciiTheme="minorHAnsi" w:hAnsiTheme="minorHAnsi" w:cstheme="minorHAnsi"/>
                <w:b/>
                <w:i/>
                <w:sz w:val="22"/>
                <w:szCs w:val="22"/>
              </w:rPr>
              <w:t>5 i</w:t>
            </w:r>
            <w:r>
              <w:rPr>
                <w:rFonts w:asciiTheme="minorHAnsi" w:hAnsiTheme="minorHAnsi" w:cstheme="minorHAnsi"/>
                <w:b/>
                <w:i/>
                <w:sz w:val="22"/>
                <w:szCs w:val="22"/>
              </w:rPr>
              <w:t xml:space="preserve"> art.</w:t>
            </w:r>
            <w:r w:rsidRPr="006809EB">
              <w:rPr>
                <w:rFonts w:asciiTheme="minorHAnsi" w:hAnsiTheme="minorHAnsi" w:cstheme="minorHAnsi"/>
                <w:b/>
                <w:i/>
                <w:sz w:val="22"/>
                <w:szCs w:val="22"/>
              </w:rPr>
              <w:t xml:space="preserve"> 7 rozporządzenia Parlamentu Europejskiego i Rady (WE) nr 595/2009 z dnia 18 czerwca 2009 r. dotyczącego homologacji typu pojazdów silnikowych i silników w odniesieniu do emisji zanieczyszczeń </w:t>
            </w:r>
            <w:r w:rsidRPr="006809EB">
              <w:rPr>
                <w:rFonts w:asciiTheme="minorHAnsi" w:hAnsiTheme="minorHAnsi" w:cstheme="minorHAnsi"/>
                <w:b/>
                <w:i/>
                <w:sz w:val="22"/>
                <w:szCs w:val="22"/>
              </w:rPr>
              <w:lastRenderedPageBreak/>
              <w:t>pochodzących z pojazdów ciężarowych o dużej ładowności (Euro VI) i zmieniającego rozporządzenie (WE) nr 715/2007 i dyrektywę 2007/46/WE oraz uchylającego dyrektywy 80/1269/EWG, 2005/55/WE i 2005/78/WE (Dz. Urz. UE L 188 z 18.07.2009, str. 1, z późn. zm.), zwanego dalej „rozporządzeniem 595/2009”.</w:t>
            </w:r>
          </w:p>
          <w:p w14:paraId="59B12A6B" w14:textId="77777777" w:rsidR="0059404D" w:rsidRPr="006809EB" w:rsidRDefault="0059404D" w:rsidP="0042202B">
            <w:pPr>
              <w:pStyle w:val="ZPKTzmpktartykuempunktem"/>
              <w:spacing w:line="240" w:lineRule="auto"/>
              <w:jc w:val="left"/>
              <w:rPr>
                <w:rFonts w:asciiTheme="minorHAnsi" w:hAnsiTheme="minorHAnsi" w:cstheme="minorHAnsi"/>
                <w:b/>
                <w:i/>
                <w:sz w:val="22"/>
                <w:szCs w:val="22"/>
              </w:rPr>
            </w:pPr>
          </w:p>
          <w:p w14:paraId="62993D61" w14:textId="6C7DB704" w:rsidR="0059404D" w:rsidRPr="00F22AE1" w:rsidRDefault="0059404D" w:rsidP="0042202B">
            <w:pPr>
              <w:rPr>
                <w:rFonts w:eastAsiaTheme="minorEastAsia" w:cstheme="minorHAnsi"/>
                <w:b/>
                <w:bCs/>
                <w:lang w:eastAsia="pl-PL"/>
              </w:rPr>
            </w:pPr>
            <w:r w:rsidRPr="00F22AE1">
              <w:rPr>
                <w:rFonts w:eastAsiaTheme="minorEastAsia" w:cstheme="minorHAnsi"/>
                <w:b/>
                <w:bCs/>
                <w:lang w:eastAsia="pl-PL"/>
              </w:rPr>
              <w:t>4) uwaga uwzględniona i wyjaśniona:</w:t>
            </w:r>
          </w:p>
          <w:p w14:paraId="7DD30953" w14:textId="77777777" w:rsidR="0059404D" w:rsidRPr="006809EB" w:rsidRDefault="0059404D" w:rsidP="0042202B">
            <w:pPr>
              <w:rPr>
                <w:rFonts w:eastAsiaTheme="minorEastAsia" w:cstheme="minorHAnsi"/>
                <w:b/>
                <w:bCs/>
                <w:i/>
                <w:lang w:eastAsia="pl-PL"/>
              </w:rPr>
            </w:pPr>
          </w:p>
          <w:p w14:paraId="739F6B33" w14:textId="3DB211F2" w:rsidR="0059404D" w:rsidRPr="006809EB" w:rsidRDefault="0059404D" w:rsidP="0042202B">
            <w:pPr>
              <w:pStyle w:val="ZUSTzmustartykuempunktem"/>
              <w:keepNext/>
              <w:spacing w:line="240" w:lineRule="auto"/>
              <w:ind w:left="0" w:firstLine="0"/>
              <w:jc w:val="left"/>
              <w:rPr>
                <w:rFonts w:asciiTheme="minorHAnsi" w:hAnsiTheme="minorHAnsi" w:cstheme="minorHAnsi"/>
                <w:b/>
                <w:bCs/>
                <w:i/>
                <w:sz w:val="22"/>
                <w:szCs w:val="22"/>
              </w:rPr>
            </w:pPr>
            <w:r w:rsidRPr="006809EB">
              <w:rPr>
                <w:rFonts w:asciiTheme="minorHAnsi" w:hAnsiTheme="minorHAnsi" w:cstheme="minorHAnsi"/>
                <w:b/>
                <w:bCs/>
                <w:i/>
                <w:sz w:val="22"/>
                <w:szCs w:val="22"/>
              </w:rPr>
              <w:t>„9. Podmiot gospodarczy lub operator platform</w:t>
            </w:r>
            <w:r>
              <w:rPr>
                <w:rFonts w:asciiTheme="minorHAnsi" w:hAnsiTheme="minorHAnsi" w:cstheme="minorHAnsi"/>
                <w:b/>
                <w:bCs/>
                <w:i/>
                <w:sz w:val="22"/>
                <w:szCs w:val="22"/>
              </w:rPr>
              <w:t>y</w:t>
            </w:r>
            <w:r w:rsidRPr="006809EB">
              <w:rPr>
                <w:rFonts w:asciiTheme="minorHAnsi" w:hAnsiTheme="minorHAnsi" w:cstheme="minorHAnsi"/>
                <w:b/>
                <w:bCs/>
                <w:i/>
                <w:sz w:val="22"/>
                <w:szCs w:val="22"/>
              </w:rPr>
              <w:t xml:space="preserve">, </w:t>
            </w:r>
            <w:bookmarkStart w:id="23" w:name="_Hlk201513524"/>
            <w:r w:rsidRPr="006809EB">
              <w:rPr>
                <w:rFonts w:asciiTheme="minorHAnsi" w:hAnsiTheme="minorHAnsi" w:cstheme="minorHAnsi"/>
                <w:b/>
                <w:bCs/>
                <w:i/>
                <w:sz w:val="22"/>
                <w:szCs w:val="22"/>
              </w:rPr>
              <w:t xml:space="preserve">który wbrew obowiązkowi lub na żądanie Dyrektora TDT </w:t>
            </w:r>
            <w:r>
              <w:rPr>
                <w:rFonts w:asciiTheme="minorHAnsi" w:hAnsiTheme="minorHAnsi" w:cstheme="minorHAnsi"/>
                <w:b/>
                <w:bCs/>
                <w:i/>
                <w:sz w:val="22"/>
                <w:szCs w:val="22"/>
              </w:rPr>
              <w:t xml:space="preserve">jako organu nadzoru rynku </w:t>
            </w:r>
            <w:r w:rsidRPr="006809EB">
              <w:rPr>
                <w:rFonts w:asciiTheme="minorHAnsi" w:hAnsiTheme="minorHAnsi" w:cstheme="minorHAnsi"/>
                <w:b/>
                <w:bCs/>
                <w:i/>
                <w:sz w:val="22"/>
                <w:szCs w:val="22"/>
              </w:rPr>
              <w:t xml:space="preserve">nie udostępnia informacji i dokumentacji niezbędnych do wykonywania zadań realizowanych przez Dyrektora TDT w trybie i na zasadach określonych w ustawie, </w:t>
            </w:r>
            <w:bookmarkEnd w:id="23"/>
            <w:r w:rsidRPr="006809EB">
              <w:rPr>
                <w:rFonts w:asciiTheme="minorHAnsi" w:hAnsiTheme="minorHAnsi" w:cstheme="minorHAnsi"/>
                <w:b/>
                <w:bCs/>
                <w:i/>
                <w:sz w:val="22"/>
                <w:szCs w:val="22"/>
              </w:rPr>
              <w:t xml:space="preserve">w przypadkach, o których mowa w: </w:t>
            </w:r>
          </w:p>
          <w:p w14:paraId="45E06F33" w14:textId="7303BD70"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1) </w:t>
            </w:r>
            <w:r w:rsidRPr="006809EB">
              <w:rPr>
                <w:rFonts w:asciiTheme="minorHAnsi" w:hAnsiTheme="minorHAnsi" w:cstheme="minorHAnsi"/>
                <w:b/>
                <w:i/>
                <w:sz w:val="22"/>
                <w:szCs w:val="22"/>
              </w:rPr>
              <w:tab/>
              <w:t xml:space="preserve">art. 9 ust. 1, 2 i 4, art. 11 ust. 3, art. 12 ust. 2–4, art. 14 ust. 3 i 4, art. 29 ust. 1, </w:t>
            </w:r>
            <w:r w:rsidRPr="006809EB">
              <w:rPr>
                <w:rFonts w:asciiTheme="minorHAnsi" w:hAnsiTheme="minorHAnsi" w:cstheme="minorHAnsi"/>
                <w:b/>
                <w:i/>
                <w:sz w:val="22"/>
                <w:szCs w:val="22"/>
              </w:rPr>
              <w:lastRenderedPageBreak/>
              <w:t>art. 32 ust. 4 i 5 oraz art. 47 ust. 1–3 rozporządzenia 167/2013;</w:t>
            </w:r>
          </w:p>
          <w:p w14:paraId="4E16D21D" w14:textId="1816181E"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2) </w:t>
            </w:r>
            <w:r w:rsidRPr="006809EB">
              <w:rPr>
                <w:rFonts w:asciiTheme="minorHAnsi" w:hAnsiTheme="minorHAnsi" w:cstheme="minorHAnsi"/>
                <w:b/>
                <w:i/>
                <w:sz w:val="22"/>
                <w:szCs w:val="22"/>
              </w:rPr>
              <w:tab/>
              <w:t xml:space="preserve">art. 10 ust. 1, 2 i  4, art. 12 ust. 3, art. 13 ust. 2–4, art. 34 ust. 1, art. 37 ust. 4 i 5 </w:t>
            </w:r>
            <w:r w:rsidRPr="006809EB">
              <w:rPr>
                <w:rFonts w:asciiTheme="minorHAnsi" w:hAnsiTheme="minorHAnsi" w:cstheme="minorHAnsi"/>
                <w:b/>
                <w:i/>
                <w:sz w:val="22"/>
                <w:szCs w:val="22"/>
              </w:rPr>
              <w:br/>
              <w:t>oraz art. 52 ust. 2 rozporządzenia 168/2013;</w:t>
            </w:r>
          </w:p>
          <w:p w14:paraId="5C879387" w14:textId="08511378"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3) </w:t>
            </w:r>
            <w:r w:rsidRPr="006809EB">
              <w:rPr>
                <w:rFonts w:asciiTheme="minorHAnsi" w:hAnsiTheme="minorHAnsi" w:cstheme="minorHAnsi"/>
                <w:b/>
                <w:i/>
                <w:sz w:val="22"/>
                <w:szCs w:val="22"/>
              </w:rPr>
              <w:tab/>
              <w:t>art. 14 ust. 1, 2 i 4, art. 17 ust. 2 i 4, art. 19, ust. 4, art. 33 ust. 1 oraz art. 35 ust. 4 i 5 rozporządzenia 2018/858;</w:t>
            </w:r>
          </w:p>
          <w:p w14:paraId="58337896" w14:textId="5B92C27A"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4) </w:t>
            </w:r>
            <w:r w:rsidRPr="006809EB">
              <w:rPr>
                <w:rFonts w:asciiTheme="minorHAnsi" w:hAnsiTheme="minorHAnsi" w:cstheme="minorHAnsi"/>
                <w:b/>
                <w:i/>
                <w:sz w:val="22"/>
                <w:szCs w:val="22"/>
              </w:rPr>
              <w:tab/>
              <w:t>art. 4</w:t>
            </w:r>
            <w:r>
              <w:rPr>
                <w:rFonts w:asciiTheme="minorHAnsi" w:hAnsiTheme="minorHAnsi" w:cstheme="minorHAnsi"/>
                <w:b/>
                <w:i/>
                <w:sz w:val="22"/>
                <w:szCs w:val="22"/>
              </w:rPr>
              <w:t xml:space="preserve"> i art. </w:t>
            </w:r>
            <w:r w:rsidRPr="006809EB">
              <w:rPr>
                <w:rFonts w:asciiTheme="minorHAnsi" w:hAnsiTheme="minorHAnsi" w:cstheme="minorHAnsi"/>
                <w:b/>
                <w:i/>
                <w:sz w:val="22"/>
                <w:szCs w:val="22"/>
              </w:rPr>
              <w:t>5 rozporządzenia 715/2007;</w:t>
            </w:r>
          </w:p>
          <w:p w14:paraId="49A5E477" w14:textId="77777777"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5) </w:t>
            </w:r>
            <w:r w:rsidRPr="006809EB">
              <w:rPr>
                <w:rFonts w:asciiTheme="minorHAnsi" w:hAnsiTheme="minorHAnsi" w:cstheme="minorHAnsi"/>
                <w:b/>
                <w:i/>
                <w:sz w:val="22"/>
                <w:szCs w:val="22"/>
              </w:rPr>
              <w:tab/>
              <w:t>art. 4–11 rozporządzenia 2019/2144;</w:t>
            </w:r>
          </w:p>
          <w:p w14:paraId="7C3A7820" w14:textId="22D73E8E" w:rsidR="0059404D" w:rsidRPr="006809EB" w:rsidRDefault="0059404D" w:rsidP="0042202B">
            <w:pPr>
              <w:pStyle w:val="ZPKTzmpktartykuempunktem"/>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6) </w:t>
            </w:r>
            <w:r w:rsidRPr="006809EB">
              <w:rPr>
                <w:rFonts w:asciiTheme="minorHAnsi" w:hAnsiTheme="minorHAnsi" w:cstheme="minorHAnsi"/>
                <w:b/>
                <w:i/>
                <w:sz w:val="22"/>
                <w:szCs w:val="22"/>
              </w:rPr>
              <w:tab/>
              <w:t>art. 4</w:t>
            </w:r>
            <w:r>
              <w:rPr>
                <w:rFonts w:asciiTheme="minorHAnsi" w:hAnsiTheme="minorHAnsi" w:cstheme="minorHAnsi"/>
                <w:b/>
                <w:i/>
                <w:sz w:val="22"/>
                <w:szCs w:val="22"/>
              </w:rPr>
              <w:t xml:space="preserve">, art. 5 </w:t>
            </w:r>
            <w:r w:rsidRPr="006809EB">
              <w:rPr>
                <w:rFonts w:asciiTheme="minorHAnsi" w:hAnsiTheme="minorHAnsi" w:cstheme="minorHAnsi"/>
                <w:b/>
                <w:i/>
                <w:sz w:val="22"/>
                <w:szCs w:val="22"/>
              </w:rPr>
              <w:t xml:space="preserve"> i art. 7 rozporządzenia 595/2009;</w:t>
            </w:r>
          </w:p>
          <w:p w14:paraId="6A1F6E17" w14:textId="77777777" w:rsidR="0059404D" w:rsidRPr="006809EB" w:rsidRDefault="0059404D" w:rsidP="0042202B">
            <w:pPr>
              <w:pStyle w:val="ZPKTzmpktartykuempunktem"/>
              <w:keepNext/>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7) </w:t>
            </w:r>
            <w:r w:rsidRPr="006809EB">
              <w:rPr>
                <w:rFonts w:asciiTheme="minorHAnsi" w:hAnsiTheme="minorHAnsi" w:cstheme="minorHAnsi"/>
                <w:b/>
                <w:i/>
                <w:sz w:val="22"/>
                <w:szCs w:val="22"/>
              </w:rPr>
              <w:tab/>
              <w:t>art. 5–8 rozporządzenia 540/2014;</w:t>
            </w:r>
          </w:p>
          <w:p w14:paraId="52CF5BF8" w14:textId="6EBE89F2" w:rsidR="0059404D" w:rsidRPr="006809EB" w:rsidRDefault="0059404D" w:rsidP="0042202B">
            <w:pPr>
              <w:pStyle w:val="ZPKTzmpktartykuempunktem"/>
              <w:keepNext/>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8) </w:t>
            </w:r>
            <w:r w:rsidRPr="006809EB">
              <w:rPr>
                <w:rFonts w:asciiTheme="minorHAnsi" w:hAnsiTheme="minorHAnsi" w:cstheme="minorHAnsi"/>
                <w:b/>
                <w:i/>
                <w:sz w:val="22"/>
                <w:szCs w:val="22"/>
              </w:rPr>
              <w:tab/>
              <w:t>art. 4–9, art. 12 i art. 14 rozporządzenia 2024/1257;</w:t>
            </w:r>
          </w:p>
          <w:p w14:paraId="78081D58" w14:textId="1EBF0D2A" w:rsidR="0059404D" w:rsidRPr="006809EB" w:rsidRDefault="0059404D" w:rsidP="0042202B">
            <w:pPr>
              <w:pStyle w:val="ZPKTzmpktartykuempunktem"/>
              <w:keepNext/>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9) </w:t>
            </w:r>
            <w:r w:rsidRPr="006809EB">
              <w:rPr>
                <w:rFonts w:asciiTheme="minorHAnsi" w:hAnsiTheme="minorHAnsi" w:cstheme="minorHAnsi"/>
                <w:b/>
                <w:i/>
                <w:sz w:val="22"/>
                <w:szCs w:val="22"/>
              </w:rPr>
              <w:tab/>
              <w:t>regulaminów ONZ.”</w:t>
            </w:r>
          </w:p>
          <w:p w14:paraId="2268CEAA" w14:textId="77777777" w:rsidR="0059404D" w:rsidRPr="006809EB" w:rsidRDefault="0059404D" w:rsidP="0042202B">
            <w:pPr>
              <w:pStyle w:val="ZPKTzmpktartykuempunktem"/>
              <w:keepNext/>
              <w:spacing w:line="240" w:lineRule="auto"/>
              <w:jc w:val="left"/>
              <w:rPr>
                <w:rFonts w:asciiTheme="minorHAnsi" w:hAnsiTheme="minorHAnsi" w:cstheme="minorHAnsi"/>
                <w:b/>
                <w:i/>
                <w:sz w:val="22"/>
                <w:szCs w:val="22"/>
              </w:rPr>
            </w:pPr>
          </w:p>
          <w:p w14:paraId="15116700" w14:textId="1FA3FE61" w:rsidR="0059404D" w:rsidRPr="004D78CD" w:rsidRDefault="0059404D" w:rsidP="0042202B">
            <w:pPr>
              <w:pStyle w:val="Tekstkomentarza"/>
              <w:rPr>
                <w:rFonts w:eastAsiaTheme="minorEastAsia" w:cstheme="minorHAnsi"/>
                <w:b/>
                <w:bCs/>
                <w:sz w:val="22"/>
                <w:szCs w:val="22"/>
                <w:lang w:eastAsia="pl-PL"/>
              </w:rPr>
            </w:pPr>
            <w:r w:rsidRPr="004D78CD">
              <w:rPr>
                <w:rFonts w:eastAsiaTheme="minorEastAsia" w:cstheme="minorHAnsi"/>
                <w:b/>
                <w:bCs/>
                <w:sz w:val="22"/>
                <w:szCs w:val="22"/>
                <w:lang w:eastAsia="pl-PL"/>
              </w:rPr>
              <w:t>Wyjaśnienie w zakresie reg. ONZ: pkt 9 dotyczy na chwilę obecną regulaminów nr 22, 27, 32, 33, 36, 42, 45, 52, 65, 68, 69, 70, 84, 104, 108, 109, 111, 114, 115, 119, 120, 124, 126, 127, 128.</w:t>
            </w:r>
          </w:p>
          <w:p w14:paraId="57A92AD6" w14:textId="0D492980" w:rsidR="0059404D" w:rsidRPr="004D78CD" w:rsidRDefault="0059404D" w:rsidP="0042202B">
            <w:pPr>
              <w:pStyle w:val="Tekstkomentarza"/>
              <w:rPr>
                <w:rFonts w:eastAsiaTheme="minorEastAsia" w:cstheme="minorHAnsi"/>
                <w:b/>
                <w:bCs/>
                <w:sz w:val="22"/>
                <w:szCs w:val="22"/>
                <w:lang w:eastAsia="pl-PL"/>
              </w:rPr>
            </w:pPr>
            <w:r w:rsidRPr="004D78CD">
              <w:rPr>
                <w:rFonts w:eastAsiaTheme="minorEastAsia" w:cstheme="minorHAnsi"/>
                <w:b/>
                <w:bCs/>
                <w:sz w:val="22"/>
                <w:szCs w:val="22"/>
                <w:lang w:eastAsia="pl-PL"/>
              </w:rPr>
              <w:lastRenderedPageBreak/>
              <w:t>Pamiętać należy jednak, że jest to lista otwarta i ONZ może co pewien czas uzupełniać wykaz o nowe regulaminy. Z kolei rozporządzeniem wykonawczy</w:t>
            </w:r>
            <w:r>
              <w:rPr>
                <w:rFonts w:eastAsiaTheme="minorEastAsia" w:cstheme="minorHAnsi"/>
                <w:b/>
                <w:bCs/>
                <w:sz w:val="22"/>
                <w:szCs w:val="22"/>
                <w:lang w:eastAsia="pl-PL"/>
              </w:rPr>
              <w:t>m</w:t>
            </w:r>
            <w:r w:rsidRPr="004D78CD">
              <w:rPr>
                <w:rFonts w:eastAsiaTheme="minorEastAsia" w:cstheme="minorHAnsi"/>
                <w:b/>
                <w:bCs/>
                <w:sz w:val="22"/>
                <w:szCs w:val="22"/>
                <w:lang w:eastAsia="pl-PL"/>
              </w:rPr>
              <w:t xml:space="preserve"> MI nie uzupełnimy ustawy o nowe regulaminy. W latach 2021-2026 przyjęto nowe reg. ONZ nr 155, 156, 157, 175, 152.</w:t>
            </w:r>
          </w:p>
          <w:p w14:paraId="0B771CFA" w14:textId="77777777" w:rsidR="0059404D" w:rsidRPr="006809EB" w:rsidRDefault="0059404D" w:rsidP="0042202B">
            <w:pPr>
              <w:rPr>
                <w:rFonts w:eastAsiaTheme="minorEastAsia" w:cstheme="minorHAnsi"/>
                <w:b/>
                <w:bCs/>
                <w:i/>
                <w:lang w:eastAsia="pl-PL"/>
              </w:rPr>
            </w:pPr>
          </w:p>
          <w:p w14:paraId="2365C356" w14:textId="2419C3BE" w:rsidR="0059404D" w:rsidRPr="00F22AE1" w:rsidRDefault="0059404D" w:rsidP="0042202B">
            <w:pPr>
              <w:rPr>
                <w:rFonts w:eastAsiaTheme="minorEastAsia" w:cstheme="minorHAnsi"/>
                <w:b/>
                <w:bCs/>
                <w:lang w:eastAsia="pl-PL"/>
              </w:rPr>
            </w:pPr>
            <w:r w:rsidRPr="00F22AE1">
              <w:rPr>
                <w:rFonts w:eastAsiaTheme="minorEastAsia" w:cstheme="minorHAnsi"/>
                <w:b/>
                <w:bCs/>
                <w:lang w:eastAsia="pl-PL"/>
              </w:rPr>
              <w:t>5) uwaga uwzględniona poprzez doprecyzowanie przepisu:</w:t>
            </w:r>
          </w:p>
          <w:p w14:paraId="40DC47BE" w14:textId="77777777" w:rsidR="0059404D" w:rsidRPr="006809EB" w:rsidRDefault="0059404D" w:rsidP="0042202B">
            <w:pPr>
              <w:rPr>
                <w:rFonts w:eastAsiaTheme="minorEastAsia" w:cstheme="minorHAnsi"/>
                <w:b/>
                <w:bCs/>
                <w:i/>
                <w:lang w:eastAsia="pl-PL"/>
              </w:rPr>
            </w:pPr>
          </w:p>
          <w:p w14:paraId="08882075" w14:textId="72188257" w:rsidR="0059404D" w:rsidRPr="006809EB" w:rsidRDefault="0059404D" w:rsidP="0042202B">
            <w:pPr>
              <w:pStyle w:val="ZUSTzmustartykuempunktem"/>
              <w:keepNext/>
              <w:spacing w:line="240" w:lineRule="auto"/>
              <w:ind w:left="0" w:firstLine="0"/>
              <w:jc w:val="left"/>
              <w:rPr>
                <w:rFonts w:asciiTheme="minorHAnsi" w:hAnsiTheme="minorHAnsi" w:cstheme="minorHAnsi"/>
                <w:b/>
                <w:bCs/>
                <w:i/>
                <w:sz w:val="22"/>
                <w:szCs w:val="22"/>
              </w:rPr>
            </w:pPr>
            <w:r w:rsidRPr="006809EB">
              <w:rPr>
                <w:rFonts w:asciiTheme="minorHAnsi" w:hAnsiTheme="minorHAnsi" w:cstheme="minorHAnsi"/>
                <w:b/>
                <w:bCs/>
                <w:i/>
                <w:sz w:val="22"/>
                <w:szCs w:val="22"/>
              </w:rPr>
              <w:t>„14. Podmiot dokonujący montażu dodatkowej instalacji zasilania gazem pojazdu, który:</w:t>
            </w:r>
          </w:p>
          <w:p w14:paraId="6951CFFD" w14:textId="6565C701" w:rsidR="0059404D" w:rsidRPr="006809EB" w:rsidRDefault="0059404D" w:rsidP="0042202B">
            <w:pPr>
              <w:pStyle w:val="ZPKTzmpktartykuempunktem"/>
              <w:keepNext/>
              <w:spacing w:line="240" w:lineRule="auto"/>
              <w:jc w:val="left"/>
              <w:rPr>
                <w:rFonts w:asciiTheme="minorHAnsi" w:hAnsiTheme="minorHAnsi" w:cstheme="minorHAnsi"/>
                <w:b/>
                <w:i/>
                <w:sz w:val="22"/>
                <w:szCs w:val="22"/>
              </w:rPr>
            </w:pPr>
            <w:r w:rsidRPr="006809EB">
              <w:rPr>
                <w:rFonts w:asciiTheme="minorHAnsi" w:hAnsiTheme="minorHAnsi" w:cstheme="minorHAnsi"/>
                <w:b/>
                <w:i/>
                <w:sz w:val="22"/>
                <w:szCs w:val="22"/>
              </w:rPr>
              <w:t>3)</w:t>
            </w:r>
            <w:r w:rsidRPr="006809EB">
              <w:rPr>
                <w:rFonts w:asciiTheme="minorHAnsi" w:hAnsiTheme="minorHAnsi" w:cstheme="minorHAnsi"/>
                <w:b/>
                <w:i/>
                <w:sz w:val="22"/>
                <w:szCs w:val="22"/>
              </w:rPr>
              <w:tab/>
              <w:t>narusza wymagania techniczne obowiązujące w procedurze homologacji dodatkowej instalacji zasilania gazem pojazdu oraz wymagania w zakresie tabliczki informacyjnej, wynikające z przepisów wydanych na podstawie art. 58”</w:t>
            </w:r>
            <w:r>
              <w:rPr>
                <w:rFonts w:asciiTheme="minorHAnsi" w:hAnsiTheme="minorHAnsi" w:cstheme="minorHAnsi"/>
                <w:b/>
                <w:i/>
                <w:sz w:val="22"/>
                <w:szCs w:val="22"/>
              </w:rPr>
              <w:t>.</w:t>
            </w:r>
          </w:p>
          <w:p w14:paraId="576349A1" w14:textId="2EF1B723" w:rsidR="0059404D" w:rsidRPr="006809EB" w:rsidRDefault="0059404D" w:rsidP="0042202B">
            <w:pPr>
              <w:rPr>
                <w:rFonts w:eastAsiaTheme="minorEastAsia" w:cstheme="minorHAnsi"/>
                <w:b/>
                <w:bCs/>
                <w:i/>
                <w:lang w:eastAsia="pl-PL"/>
              </w:rPr>
            </w:pPr>
          </w:p>
          <w:p w14:paraId="6C2F99C7" w14:textId="50FDC3CF" w:rsidR="0059404D" w:rsidRPr="006809EB" w:rsidRDefault="0059404D" w:rsidP="0042202B">
            <w:pPr>
              <w:rPr>
                <w:rFonts w:eastAsiaTheme="minorEastAsia" w:cstheme="minorHAnsi"/>
                <w:b/>
                <w:bCs/>
                <w:lang w:eastAsia="pl-PL"/>
              </w:rPr>
            </w:pPr>
            <w:r w:rsidRPr="006809EB">
              <w:rPr>
                <w:rFonts w:eastAsiaTheme="minorEastAsia" w:cstheme="minorHAnsi"/>
                <w:b/>
                <w:bCs/>
                <w:lang w:eastAsia="pl-PL"/>
              </w:rPr>
              <w:t xml:space="preserve">6) uwaga uwzględniona – zmiana numeracji i odwołania do przepisów: </w:t>
            </w:r>
          </w:p>
          <w:p w14:paraId="52F1EEF4" w14:textId="77777777" w:rsidR="0059404D" w:rsidRPr="006809EB" w:rsidRDefault="0059404D" w:rsidP="0042202B">
            <w:pPr>
              <w:pStyle w:val="ZARTzmartartykuempunktem"/>
              <w:keepNext/>
              <w:spacing w:line="240" w:lineRule="auto"/>
              <w:ind w:left="0" w:firstLine="0"/>
              <w:jc w:val="left"/>
              <w:rPr>
                <w:rFonts w:asciiTheme="minorHAnsi" w:hAnsiTheme="minorHAnsi" w:cstheme="minorHAnsi"/>
                <w:b/>
                <w:i/>
                <w:sz w:val="22"/>
                <w:szCs w:val="22"/>
              </w:rPr>
            </w:pPr>
          </w:p>
          <w:p w14:paraId="781102CB" w14:textId="44313F46" w:rsidR="0059404D" w:rsidRPr="006809EB"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6809EB">
              <w:rPr>
                <w:rFonts w:asciiTheme="minorHAnsi" w:hAnsiTheme="minorHAnsi" w:cstheme="minorHAnsi"/>
                <w:b/>
                <w:i/>
                <w:sz w:val="22"/>
                <w:szCs w:val="22"/>
              </w:rPr>
              <w:lastRenderedPageBreak/>
              <w:t>„Art. 71b. 1. Kto:</w:t>
            </w:r>
          </w:p>
          <w:p w14:paraId="3FA52580" w14:textId="189BB4ED" w:rsidR="0059404D" w:rsidRPr="006809EB" w:rsidRDefault="0059404D" w:rsidP="0042202B">
            <w:pPr>
              <w:pStyle w:val="ZPKTzmpktartykuempunktem"/>
              <w:spacing w:line="240" w:lineRule="auto"/>
              <w:jc w:val="left"/>
              <w:rPr>
                <w:rFonts w:asciiTheme="minorHAnsi" w:hAnsiTheme="minorHAnsi" w:cstheme="minorHAnsi"/>
                <w:b/>
                <w:bCs w:val="0"/>
                <w:i/>
                <w:sz w:val="22"/>
                <w:szCs w:val="22"/>
              </w:rPr>
            </w:pPr>
            <w:r w:rsidRPr="006809EB">
              <w:rPr>
                <w:rFonts w:asciiTheme="minorHAnsi" w:hAnsiTheme="minorHAnsi" w:cstheme="minorHAnsi"/>
                <w:b/>
                <w:bCs w:val="0"/>
                <w:i/>
                <w:sz w:val="22"/>
                <w:szCs w:val="22"/>
              </w:rPr>
              <w:t xml:space="preserve">1) </w:t>
            </w:r>
            <w:r w:rsidRPr="006809EB">
              <w:rPr>
                <w:rFonts w:asciiTheme="minorHAnsi" w:hAnsiTheme="minorHAnsi" w:cstheme="minorHAnsi"/>
                <w:b/>
                <w:bCs w:val="0"/>
                <w:i/>
                <w:sz w:val="22"/>
                <w:szCs w:val="22"/>
              </w:rPr>
              <w:tab/>
              <w:t xml:space="preserve">nie przekazuje informacji o wysokości naliczonych opłat </w:t>
            </w:r>
            <w:r>
              <w:rPr>
                <w:rFonts w:asciiTheme="minorHAnsi" w:hAnsiTheme="minorHAnsi" w:cstheme="minorHAnsi"/>
                <w:b/>
                <w:bCs w:val="0"/>
                <w:i/>
                <w:sz w:val="22"/>
                <w:szCs w:val="22"/>
              </w:rPr>
              <w:t xml:space="preserve">za nadzór rynku motoryzacyjnego </w:t>
            </w:r>
            <w:r w:rsidRPr="006809EB">
              <w:rPr>
                <w:rFonts w:asciiTheme="minorHAnsi" w:hAnsiTheme="minorHAnsi" w:cstheme="minorHAnsi"/>
                <w:b/>
                <w:bCs w:val="0"/>
                <w:i/>
                <w:sz w:val="22"/>
                <w:szCs w:val="22"/>
              </w:rPr>
              <w:t xml:space="preserve">w terminie, o którym mowa w art. 68zk ust. </w:t>
            </w:r>
            <w:r>
              <w:rPr>
                <w:rFonts w:asciiTheme="minorHAnsi" w:hAnsiTheme="minorHAnsi" w:cstheme="minorHAnsi"/>
                <w:b/>
                <w:bCs w:val="0"/>
                <w:i/>
                <w:sz w:val="22"/>
                <w:szCs w:val="22"/>
              </w:rPr>
              <w:t>6</w:t>
            </w:r>
            <w:r w:rsidRPr="006809EB">
              <w:rPr>
                <w:rFonts w:asciiTheme="minorHAnsi" w:hAnsiTheme="minorHAnsi" w:cstheme="minorHAnsi"/>
                <w:b/>
                <w:bCs w:val="0"/>
                <w:i/>
                <w:sz w:val="22"/>
                <w:szCs w:val="22"/>
              </w:rPr>
              <w:t xml:space="preserve">, podlega administracyjnej karze pieniężnej do wysokości </w:t>
            </w:r>
            <w:r w:rsidRPr="006809EB">
              <w:rPr>
                <w:rFonts w:asciiTheme="minorHAnsi" w:hAnsiTheme="minorHAnsi" w:cstheme="minorHAnsi"/>
                <w:b/>
                <w:i/>
                <w:sz w:val="22"/>
                <w:szCs w:val="22"/>
              </w:rPr>
              <w:t>dwunastokrotności</w:t>
            </w:r>
            <w:r w:rsidRPr="006809EB">
              <w:rPr>
                <w:rFonts w:asciiTheme="minorHAnsi" w:hAnsiTheme="minorHAnsi" w:cstheme="minorHAnsi"/>
                <w:b/>
                <w:bCs w:val="0"/>
                <w:i/>
                <w:sz w:val="22"/>
                <w:szCs w:val="22"/>
              </w:rPr>
              <w:t xml:space="preserve"> przeciętnego wynagrodzenia, o którym mowa w art. 68g ust. 4, ogłaszanego za czwarty kwartał roku poprzedzającego nałożenie kary;</w:t>
            </w:r>
          </w:p>
          <w:p w14:paraId="3D9C6DCD" w14:textId="0690BCC0" w:rsidR="0059404D" w:rsidRPr="006809EB" w:rsidRDefault="0059404D" w:rsidP="0042202B">
            <w:pPr>
              <w:pStyle w:val="ZPKTzmpktartykuempunktem"/>
              <w:spacing w:line="240" w:lineRule="auto"/>
              <w:jc w:val="left"/>
              <w:rPr>
                <w:rFonts w:asciiTheme="minorHAnsi" w:hAnsiTheme="minorHAnsi" w:cstheme="minorHAnsi"/>
                <w:b/>
                <w:bCs w:val="0"/>
                <w:i/>
                <w:sz w:val="22"/>
                <w:szCs w:val="22"/>
              </w:rPr>
            </w:pPr>
            <w:r w:rsidRPr="006809EB">
              <w:rPr>
                <w:rFonts w:asciiTheme="minorHAnsi" w:hAnsiTheme="minorHAnsi" w:cstheme="minorHAnsi"/>
                <w:b/>
                <w:bCs w:val="0"/>
                <w:i/>
                <w:sz w:val="22"/>
                <w:szCs w:val="22"/>
              </w:rPr>
              <w:t xml:space="preserve">2) </w:t>
            </w:r>
            <w:r w:rsidRPr="006809EB">
              <w:rPr>
                <w:rFonts w:asciiTheme="minorHAnsi" w:hAnsiTheme="minorHAnsi" w:cstheme="minorHAnsi"/>
                <w:b/>
                <w:bCs w:val="0"/>
                <w:i/>
                <w:sz w:val="22"/>
                <w:szCs w:val="22"/>
              </w:rPr>
              <w:tab/>
              <w:t xml:space="preserve">nie przekazuje zbiorczej informacji o wysokości naliczonych opłat </w:t>
            </w:r>
            <w:r>
              <w:rPr>
                <w:rFonts w:asciiTheme="minorHAnsi" w:hAnsiTheme="minorHAnsi" w:cstheme="minorHAnsi"/>
                <w:b/>
                <w:bCs w:val="0"/>
                <w:i/>
                <w:sz w:val="22"/>
                <w:szCs w:val="22"/>
              </w:rPr>
              <w:t xml:space="preserve"> za nadzór rynku motoryzacyjnego </w:t>
            </w:r>
            <w:r w:rsidRPr="006809EB">
              <w:rPr>
                <w:rFonts w:asciiTheme="minorHAnsi" w:hAnsiTheme="minorHAnsi" w:cstheme="minorHAnsi"/>
                <w:b/>
                <w:bCs w:val="0"/>
                <w:i/>
                <w:sz w:val="22"/>
                <w:szCs w:val="22"/>
              </w:rPr>
              <w:t xml:space="preserve">w terminie, o którym mowa w art. 68zk ust. </w:t>
            </w:r>
            <w:r>
              <w:rPr>
                <w:rFonts w:asciiTheme="minorHAnsi" w:hAnsiTheme="minorHAnsi" w:cstheme="minorHAnsi"/>
                <w:b/>
                <w:bCs w:val="0"/>
                <w:i/>
                <w:sz w:val="22"/>
                <w:szCs w:val="22"/>
              </w:rPr>
              <w:t>6</w:t>
            </w:r>
            <w:r w:rsidRPr="006809EB">
              <w:rPr>
                <w:rFonts w:asciiTheme="minorHAnsi" w:hAnsiTheme="minorHAnsi" w:cstheme="minorHAnsi"/>
                <w:b/>
                <w:bCs w:val="0"/>
                <w:i/>
                <w:sz w:val="22"/>
                <w:szCs w:val="22"/>
              </w:rPr>
              <w:t xml:space="preserve">, podlega administracyjnej karze pieniężnej do wysokości </w:t>
            </w:r>
            <w:r w:rsidRPr="006809EB">
              <w:rPr>
                <w:rFonts w:asciiTheme="minorHAnsi" w:hAnsiTheme="minorHAnsi" w:cstheme="minorHAnsi"/>
                <w:b/>
                <w:i/>
                <w:sz w:val="22"/>
                <w:szCs w:val="22"/>
              </w:rPr>
              <w:t>dwunastokrotności</w:t>
            </w:r>
            <w:r w:rsidRPr="006809EB">
              <w:rPr>
                <w:rFonts w:asciiTheme="minorHAnsi" w:hAnsiTheme="minorHAnsi" w:cstheme="minorHAnsi"/>
                <w:b/>
                <w:bCs w:val="0"/>
                <w:i/>
                <w:sz w:val="22"/>
                <w:szCs w:val="22"/>
              </w:rPr>
              <w:t xml:space="preserve"> przeciętnego wynagrodzenia, o którym mowa w art. 68g ust. 4, </w:t>
            </w:r>
            <w:r w:rsidRPr="006809EB">
              <w:rPr>
                <w:rFonts w:asciiTheme="minorHAnsi" w:hAnsiTheme="minorHAnsi" w:cstheme="minorHAnsi"/>
                <w:b/>
                <w:bCs w:val="0"/>
                <w:i/>
                <w:sz w:val="22"/>
                <w:szCs w:val="22"/>
              </w:rPr>
              <w:lastRenderedPageBreak/>
              <w:t xml:space="preserve">ogłaszanego za czwarty kwartał roku poprzedzającego nałożenie kary; </w:t>
            </w:r>
          </w:p>
          <w:p w14:paraId="352D2432" w14:textId="40D18A6A" w:rsidR="0059404D" w:rsidRPr="006809EB" w:rsidRDefault="0059404D" w:rsidP="0042202B">
            <w:pPr>
              <w:pStyle w:val="ZPKTzmpktartykuempunktem"/>
              <w:spacing w:line="240" w:lineRule="auto"/>
              <w:jc w:val="left"/>
              <w:rPr>
                <w:rFonts w:asciiTheme="minorHAnsi" w:hAnsiTheme="minorHAnsi" w:cstheme="minorHAnsi"/>
                <w:b/>
                <w:bCs w:val="0"/>
                <w:i/>
                <w:sz w:val="22"/>
                <w:szCs w:val="22"/>
              </w:rPr>
            </w:pPr>
            <w:r w:rsidRPr="006809EB">
              <w:rPr>
                <w:rFonts w:asciiTheme="minorHAnsi" w:hAnsiTheme="minorHAnsi" w:cstheme="minorHAnsi"/>
                <w:b/>
                <w:bCs w:val="0"/>
                <w:i/>
                <w:sz w:val="22"/>
                <w:szCs w:val="22"/>
              </w:rPr>
              <w:t xml:space="preserve">3) </w:t>
            </w:r>
            <w:r w:rsidRPr="006809EB">
              <w:rPr>
                <w:rFonts w:asciiTheme="minorHAnsi" w:hAnsiTheme="minorHAnsi" w:cstheme="minorHAnsi"/>
                <w:b/>
                <w:bCs w:val="0"/>
                <w:i/>
                <w:sz w:val="22"/>
                <w:szCs w:val="22"/>
              </w:rPr>
              <w:tab/>
              <w:t xml:space="preserve">fałszuje lub zataja dane, na podstawie których wypełniona została informacja, o której mowa w art. 68zk ust. 7 </w:t>
            </w:r>
            <w:r>
              <w:rPr>
                <w:rFonts w:asciiTheme="minorHAnsi" w:hAnsiTheme="minorHAnsi" w:cstheme="minorHAnsi"/>
                <w:b/>
                <w:bCs w:val="0"/>
                <w:i/>
                <w:sz w:val="22"/>
                <w:szCs w:val="22"/>
              </w:rPr>
              <w:t>lub</w:t>
            </w:r>
            <w:r w:rsidRPr="006809EB">
              <w:rPr>
                <w:rFonts w:asciiTheme="minorHAnsi" w:hAnsiTheme="minorHAnsi" w:cstheme="minorHAnsi"/>
                <w:b/>
                <w:bCs w:val="0"/>
                <w:i/>
                <w:sz w:val="22"/>
                <w:szCs w:val="22"/>
              </w:rPr>
              <w:t xml:space="preserve"> 8, lub podaje nieprawdziwe dane w informacji podlega administracyjnej karze pieniężnej do wysokości </w:t>
            </w:r>
            <w:r w:rsidRPr="006809EB">
              <w:rPr>
                <w:rFonts w:asciiTheme="minorHAnsi" w:hAnsiTheme="minorHAnsi" w:cstheme="minorHAnsi"/>
                <w:b/>
                <w:i/>
                <w:sz w:val="22"/>
                <w:szCs w:val="22"/>
              </w:rPr>
              <w:t>dwunastokrotności</w:t>
            </w:r>
            <w:r w:rsidRPr="006809EB" w:rsidDel="008A374C">
              <w:rPr>
                <w:rFonts w:asciiTheme="minorHAnsi" w:hAnsiTheme="minorHAnsi" w:cstheme="minorHAnsi"/>
                <w:b/>
                <w:bCs w:val="0"/>
                <w:i/>
                <w:sz w:val="22"/>
                <w:szCs w:val="22"/>
                <w:highlight w:val="yellow"/>
              </w:rPr>
              <w:t xml:space="preserve"> </w:t>
            </w:r>
            <w:r w:rsidRPr="006809EB">
              <w:rPr>
                <w:rFonts w:asciiTheme="minorHAnsi" w:hAnsiTheme="minorHAnsi" w:cstheme="minorHAnsi"/>
                <w:b/>
                <w:bCs w:val="0"/>
                <w:i/>
                <w:sz w:val="22"/>
                <w:szCs w:val="22"/>
              </w:rPr>
              <w:t>przeciętnego wynagrodzenia, o którym mowa w art. 68g ust. 4, ogłaszanego za czwarty kwartał roku poprzedzającego nałożenie kary;</w:t>
            </w:r>
          </w:p>
          <w:p w14:paraId="1FD25A06" w14:textId="77777777" w:rsidR="0059404D" w:rsidRPr="006809EB" w:rsidRDefault="0059404D" w:rsidP="0042202B">
            <w:pPr>
              <w:pStyle w:val="ZARTzmartartykuempunktem"/>
              <w:spacing w:line="240" w:lineRule="auto"/>
              <w:ind w:left="1020" w:hanging="510"/>
              <w:jc w:val="left"/>
              <w:rPr>
                <w:rFonts w:asciiTheme="minorHAnsi" w:hAnsiTheme="minorHAnsi" w:cstheme="minorHAnsi"/>
                <w:b/>
                <w:i/>
                <w:sz w:val="22"/>
                <w:szCs w:val="22"/>
              </w:rPr>
            </w:pPr>
            <w:r w:rsidRPr="006809EB">
              <w:rPr>
                <w:rFonts w:asciiTheme="minorHAnsi" w:hAnsiTheme="minorHAnsi" w:cstheme="minorHAnsi"/>
                <w:b/>
                <w:i/>
                <w:sz w:val="22"/>
                <w:szCs w:val="22"/>
              </w:rPr>
              <w:t xml:space="preserve">4) </w:t>
            </w:r>
            <w:r w:rsidRPr="006809EB">
              <w:rPr>
                <w:rFonts w:asciiTheme="minorHAnsi" w:hAnsiTheme="minorHAnsi" w:cstheme="minorHAnsi"/>
                <w:b/>
                <w:i/>
                <w:sz w:val="22"/>
                <w:szCs w:val="22"/>
              </w:rPr>
              <w:tab/>
              <w:t xml:space="preserve">nie przechowuje oraz nie okazuje na wezwanie Dyrektora TDT jako organu nadzoru rynku dokumentów, o których mowa w art. 68zk ust. 14, podlega administracyjnej karze pieniężnej do </w:t>
            </w:r>
            <w:r w:rsidRPr="006809EB">
              <w:rPr>
                <w:rFonts w:asciiTheme="minorHAnsi" w:hAnsiTheme="minorHAnsi" w:cstheme="minorHAnsi"/>
                <w:b/>
                <w:i/>
                <w:sz w:val="22"/>
                <w:szCs w:val="22"/>
              </w:rPr>
              <w:lastRenderedPageBreak/>
              <w:t>wysokości trzykrotności przeciętnego wynagrodzenia, o którym mowa w art. 68g ust. 4, ogłaszanego za czwarty kwartał roku poprzedzającego nałożenie kary;</w:t>
            </w:r>
          </w:p>
          <w:p w14:paraId="568F2CE4" w14:textId="464CC8D5" w:rsidR="0059404D" w:rsidRPr="006809EB" w:rsidRDefault="0059404D" w:rsidP="0042202B">
            <w:pPr>
              <w:ind w:left="1020" w:hanging="510"/>
              <w:rPr>
                <w:rFonts w:eastAsiaTheme="minorEastAsia" w:cstheme="minorHAnsi"/>
                <w:b/>
                <w:i/>
                <w:lang w:eastAsia="pl-PL"/>
              </w:rPr>
            </w:pPr>
            <w:r w:rsidRPr="006809EB">
              <w:rPr>
                <w:rFonts w:eastAsiaTheme="minorEastAsia" w:cstheme="minorHAnsi"/>
                <w:b/>
                <w:i/>
                <w:lang w:eastAsia="pl-PL"/>
              </w:rPr>
              <w:t xml:space="preserve">5) </w:t>
            </w:r>
            <w:r w:rsidRPr="006809EB">
              <w:rPr>
                <w:rFonts w:eastAsiaTheme="minorEastAsia" w:cstheme="minorHAnsi"/>
                <w:b/>
                <w:i/>
                <w:lang w:eastAsia="pl-PL"/>
              </w:rPr>
              <w:tab/>
              <w:t>przedkłada sfałszowany dokument stanowiący postawę ustalenia wysokości opłaty</w:t>
            </w:r>
            <w:r>
              <w:rPr>
                <w:rFonts w:cstheme="minorHAnsi"/>
                <w:b/>
                <w:bCs/>
                <w:i/>
              </w:rPr>
              <w:t xml:space="preserve"> za nadzór rynku motoryzacyjnego</w:t>
            </w:r>
            <w:r w:rsidRPr="006809EB">
              <w:rPr>
                <w:rFonts w:eastAsiaTheme="minorEastAsia" w:cstheme="minorHAnsi"/>
                <w:b/>
                <w:i/>
                <w:lang w:eastAsia="pl-PL"/>
              </w:rPr>
              <w:t xml:space="preserve">, </w:t>
            </w:r>
            <w:r w:rsidRPr="006809EB">
              <w:rPr>
                <w:rFonts w:cstheme="minorHAnsi"/>
                <w:b/>
                <w:i/>
              </w:rPr>
              <w:t>podlega administracyjnej karze pieniężnej do wysokości trzykrotności przeciętnego wynagrodzenia, o którym mowa w art. 68g ust. 4, ogłaszanego za czwarty kwartał roku poprzedzającego nałożenie kary.</w:t>
            </w:r>
            <w:r>
              <w:rPr>
                <w:rFonts w:cstheme="minorHAnsi"/>
                <w:b/>
                <w:i/>
              </w:rPr>
              <w:t>”</w:t>
            </w:r>
          </w:p>
        </w:tc>
        <w:tc>
          <w:tcPr>
            <w:tcW w:w="3686" w:type="dxa"/>
          </w:tcPr>
          <w:p w14:paraId="0F8C598C"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548EC29C"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6135803D" w14:textId="77777777" w:rsidR="007B6387" w:rsidRDefault="007B6387" w:rsidP="0042202B">
            <w:pPr>
              <w:rPr>
                <w:rFonts w:eastAsiaTheme="minorEastAsia" w:cstheme="minorHAnsi"/>
                <w:b/>
                <w:bCs/>
                <w:lang w:eastAsia="pl-PL"/>
              </w:rPr>
            </w:pPr>
          </w:p>
          <w:p w14:paraId="5C859F44"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4AFB5617" w14:textId="03CCC1DA" w:rsidR="007B6387" w:rsidRPr="00F22AE1" w:rsidRDefault="007B6387" w:rsidP="0042202B">
            <w:pPr>
              <w:rPr>
                <w:rFonts w:eastAsiaTheme="minorEastAsia" w:cstheme="minorHAnsi"/>
                <w:b/>
                <w:bCs/>
                <w:lang w:eastAsia="pl-PL"/>
              </w:rPr>
            </w:pPr>
          </w:p>
        </w:tc>
      </w:tr>
      <w:tr w:rsidR="0059404D" w:rsidRPr="00F515D6" w14:paraId="260AF4B8" w14:textId="27229429" w:rsidTr="00D76FE7">
        <w:tc>
          <w:tcPr>
            <w:tcW w:w="562" w:type="dxa"/>
          </w:tcPr>
          <w:p w14:paraId="24489FDF" w14:textId="23ED4C1C" w:rsidR="0059404D" w:rsidRPr="00A65DE6" w:rsidRDefault="0059404D" w:rsidP="0042202B">
            <w:pPr>
              <w:rPr>
                <w:rFonts w:cstheme="minorHAnsi"/>
                <w:b/>
              </w:rPr>
            </w:pPr>
            <w:r w:rsidRPr="00A65DE6">
              <w:rPr>
                <w:rFonts w:cstheme="minorHAnsi"/>
                <w:b/>
              </w:rPr>
              <w:lastRenderedPageBreak/>
              <w:t>19</w:t>
            </w:r>
          </w:p>
        </w:tc>
        <w:tc>
          <w:tcPr>
            <w:tcW w:w="993" w:type="dxa"/>
          </w:tcPr>
          <w:p w14:paraId="112A04A2" w14:textId="3F77569A" w:rsidR="0059404D" w:rsidRPr="00A65DE6" w:rsidRDefault="0059404D" w:rsidP="0042202B">
            <w:pPr>
              <w:rPr>
                <w:rFonts w:cstheme="minorHAnsi"/>
                <w:b/>
              </w:rPr>
            </w:pPr>
            <w:r w:rsidRPr="00A65DE6">
              <w:rPr>
                <w:rFonts w:cstheme="minorHAnsi"/>
                <w:b/>
              </w:rPr>
              <w:t>RCL</w:t>
            </w:r>
          </w:p>
        </w:tc>
        <w:tc>
          <w:tcPr>
            <w:tcW w:w="1701" w:type="dxa"/>
          </w:tcPr>
          <w:p w14:paraId="14006D6E" w14:textId="0B2AF31F" w:rsidR="0059404D" w:rsidRPr="00A65DE6" w:rsidRDefault="0059404D" w:rsidP="0042202B">
            <w:pPr>
              <w:rPr>
                <w:rFonts w:cstheme="minorHAnsi"/>
                <w:b/>
              </w:rPr>
            </w:pPr>
            <w:r w:rsidRPr="00A65DE6">
              <w:rPr>
                <w:rFonts w:cstheme="minorHAnsi"/>
                <w:b/>
              </w:rPr>
              <w:t>Art. 71c ust. 3 UH</w:t>
            </w:r>
          </w:p>
        </w:tc>
        <w:tc>
          <w:tcPr>
            <w:tcW w:w="5953" w:type="dxa"/>
          </w:tcPr>
          <w:p w14:paraId="61E3BB34" w14:textId="77777777" w:rsidR="0059404D" w:rsidRPr="00A65DE6" w:rsidRDefault="0059404D" w:rsidP="0042202B">
            <w:pPr>
              <w:widowControl w:val="0"/>
              <w:numPr>
                <w:ilvl w:val="0"/>
                <w:numId w:val="5"/>
              </w:numPr>
              <w:tabs>
                <w:tab w:val="left" w:pos="770"/>
              </w:tabs>
              <w:ind w:hanging="567"/>
              <w:rPr>
                <w:rFonts w:cstheme="minorHAnsi"/>
                <w:b/>
              </w:rPr>
            </w:pPr>
            <w:r w:rsidRPr="00A65DE6">
              <w:rPr>
                <w:rFonts w:cstheme="minorHAnsi"/>
                <w:b/>
              </w:rPr>
              <w:t xml:space="preserve">Zgodnie z dodawanym do ustawy art. 71c ust. 3 (art. 1 pkt 13 projektu) przy ustalaniu wysokości administracyjnych kar pieniężnych, o których mowa w art. 71a i art. 71b, uwzględnia się </w:t>
            </w:r>
            <w:r w:rsidRPr="00A65DE6">
              <w:rPr>
                <w:rStyle w:val="Teksttreci20"/>
                <w:rFonts w:asciiTheme="minorHAnsi" w:eastAsiaTheme="minorHAnsi" w:hAnsiTheme="minorHAnsi" w:cstheme="minorHAnsi"/>
                <w:b/>
                <w:sz w:val="22"/>
                <w:szCs w:val="22"/>
                <w:u w:val="none"/>
              </w:rPr>
              <w:t>w szczególności</w:t>
            </w:r>
            <w:r w:rsidRPr="00A65DE6">
              <w:rPr>
                <w:rFonts w:cstheme="minorHAnsi"/>
                <w:b/>
              </w:rPr>
              <w:t xml:space="preserve"> stopień, okoliczności i okres naruszenia obowiązków, liczbę udostępnionych na rynku pojazdów lub przedmiotów wyposażenia lub części niezgodnych z </w:t>
            </w:r>
            <w:r w:rsidRPr="00A65DE6">
              <w:rPr>
                <w:rFonts w:cstheme="minorHAnsi"/>
                <w:b/>
              </w:rPr>
              <w:lastRenderedPageBreak/>
              <w:t>wymogami albo liczbę pojazdów, w których dokonano montażu dodatkowej instalacji zasilania gazem pojazdu niezgodnie z wymogami, uprzednie naruszenie obowiązków oraz współpracę z Dyrektorem TDT jako organem nadzoru rynku, w szczególności przyczynienie się do szybkiego i sprawnego przeprowadzenia kontroli lub postępowania. Zastrzeżenia budzi użyte w ust. 3 sformułowanie „w szczególności” w zakresie, w jakim oznacza, że katalog przesłanek jakie bierze się pod uwagę ustalając wysokość administracyjnej kary pieniężnej jest określony w formie katalogu otwartego. Konieczne jest określenie tych przesłanek w katalogu zamkniętym.</w:t>
            </w:r>
          </w:p>
          <w:p w14:paraId="6F72DFBD" w14:textId="77777777" w:rsidR="0059404D" w:rsidRPr="00A65DE6" w:rsidRDefault="0059404D" w:rsidP="0042202B">
            <w:pPr>
              <w:autoSpaceDE w:val="0"/>
              <w:autoSpaceDN w:val="0"/>
              <w:adjustRightInd w:val="0"/>
              <w:rPr>
                <w:rFonts w:cstheme="minorHAnsi"/>
                <w:b/>
              </w:rPr>
            </w:pPr>
          </w:p>
        </w:tc>
        <w:tc>
          <w:tcPr>
            <w:tcW w:w="3827" w:type="dxa"/>
          </w:tcPr>
          <w:p w14:paraId="54DF86C6" w14:textId="7162882E" w:rsidR="0059404D" w:rsidRDefault="0059404D" w:rsidP="0042202B">
            <w:pPr>
              <w:rPr>
                <w:rFonts w:cstheme="minorHAnsi"/>
                <w:b/>
              </w:rPr>
            </w:pPr>
            <w:r w:rsidRPr="00A65DE6">
              <w:rPr>
                <w:rFonts w:cstheme="minorHAnsi"/>
                <w:b/>
              </w:rPr>
              <w:lastRenderedPageBreak/>
              <w:t>Uwaga uwzględniona poprzez zmianę przepi</w:t>
            </w:r>
            <w:r>
              <w:rPr>
                <w:rFonts w:cstheme="minorHAnsi"/>
                <w:b/>
              </w:rPr>
              <w:t>su, rozszerzenie</w:t>
            </w:r>
            <w:r w:rsidRPr="00A65DE6">
              <w:rPr>
                <w:rFonts w:cstheme="minorHAnsi"/>
                <w:b/>
              </w:rPr>
              <w:t xml:space="preserve"> katalogu przesłane</w:t>
            </w:r>
            <w:r>
              <w:rPr>
                <w:rFonts w:cstheme="minorHAnsi"/>
                <w:b/>
              </w:rPr>
              <w:t>k i</w:t>
            </w:r>
            <w:r w:rsidRPr="00A65DE6">
              <w:rPr>
                <w:rFonts w:cstheme="minorHAnsi"/>
                <w:b/>
              </w:rPr>
              <w:t xml:space="preserve"> </w:t>
            </w:r>
            <w:r>
              <w:rPr>
                <w:rFonts w:cstheme="minorHAnsi"/>
                <w:b/>
              </w:rPr>
              <w:t>wprowadzenie katalogu zamkniętego przesłanek</w:t>
            </w:r>
            <w:r w:rsidRPr="00A65DE6">
              <w:rPr>
                <w:rFonts w:cstheme="minorHAnsi"/>
                <w:b/>
              </w:rPr>
              <w:t xml:space="preserve"> oraz w konsekwencji tego usunięcie </w:t>
            </w:r>
            <w:r>
              <w:rPr>
                <w:rFonts w:cstheme="minorHAnsi"/>
                <w:b/>
              </w:rPr>
              <w:lastRenderedPageBreak/>
              <w:t>możliwości odstąpienia od nałożenia kary:</w:t>
            </w:r>
            <w:r w:rsidRPr="00A65DE6">
              <w:rPr>
                <w:rFonts w:cstheme="minorHAnsi"/>
                <w:b/>
              </w:rPr>
              <w:t xml:space="preserve">  </w:t>
            </w:r>
          </w:p>
          <w:p w14:paraId="6B7B6D3D" w14:textId="77777777" w:rsidR="0059404D" w:rsidRDefault="0059404D" w:rsidP="0042202B">
            <w:pPr>
              <w:rPr>
                <w:rFonts w:cstheme="minorHAnsi"/>
                <w:b/>
              </w:rPr>
            </w:pPr>
          </w:p>
          <w:p w14:paraId="60843465" w14:textId="04AA127D" w:rsidR="0059404D" w:rsidRPr="008164B6" w:rsidRDefault="0059404D" w:rsidP="0042202B">
            <w:pPr>
              <w:pStyle w:val="ZUSTzmustartykuempunktem"/>
              <w:keepNext/>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8164B6">
              <w:rPr>
                <w:rFonts w:asciiTheme="minorHAnsi" w:eastAsiaTheme="minorHAnsi" w:hAnsiTheme="minorHAnsi" w:cstheme="minorHAnsi"/>
                <w:b/>
                <w:i/>
                <w:sz w:val="22"/>
                <w:szCs w:val="22"/>
                <w:lang w:eastAsia="en-US"/>
              </w:rPr>
              <w:t>3. Przy ustalaniu wysokości administracyjnych kar pieniężnych, o których mowa w art. 71a i art. 71b, uwzględnia się:</w:t>
            </w:r>
          </w:p>
          <w:p w14:paraId="4ADAFD9A" w14:textId="77777777" w:rsidR="0059404D" w:rsidRPr="008164B6" w:rsidRDefault="0059404D" w:rsidP="0042202B">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rPr>
                <w:rFonts w:asciiTheme="minorHAnsi" w:eastAsiaTheme="minorHAnsi" w:hAnsiTheme="minorHAnsi" w:cstheme="minorHAnsi"/>
                <w:b/>
                <w:bCs w:val="0"/>
                <w:i/>
                <w:sz w:val="22"/>
                <w:szCs w:val="22"/>
                <w:lang w:eastAsia="en-US"/>
              </w:rPr>
            </w:pPr>
            <w:r w:rsidRPr="008164B6">
              <w:rPr>
                <w:rFonts w:asciiTheme="minorHAnsi" w:eastAsiaTheme="minorHAnsi" w:hAnsiTheme="minorHAnsi" w:cstheme="minorHAnsi"/>
                <w:b/>
                <w:bCs w:val="0"/>
                <w:i/>
                <w:sz w:val="22"/>
                <w:szCs w:val="22"/>
                <w:lang w:eastAsia="en-US"/>
              </w:rPr>
              <w:t>1)</w:t>
            </w:r>
            <w:r w:rsidRPr="008164B6">
              <w:rPr>
                <w:rFonts w:asciiTheme="minorHAnsi" w:eastAsiaTheme="minorHAnsi" w:hAnsiTheme="minorHAnsi" w:cstheme="minorHAnsi"/>
                <w:b/>
                <w:bCs w:val="0"/>
                <w:i/>
                <w:sz w:val="22"/>
                <w:szCs w:val="22"/>
                <w:lang w:eastAsia="en-US"/>
              </w:rPr>
              <w:tab/>
            </w:r>
            <w:r w:rsidRPr="008164B6">
              <w:rPr>
                <w:rFonts w:asciiTheme="minorHAnsi" w:eastAsiaTheme="minorHAnsi" w:hAnsiTheme="minorHAnsi" w:cstheme="minorHAnsi"/>
                <w:b/>
                <w:bCs w:val="0"/>
                <w:i/>
                <w:sz w:val="22"/>
                <w:szCs w:val="22"/>
                <w:lang w:eastAsia="en-US"/>
              </w:rPr>
              <w:tab/>
              <w:t>stopień, okoliczności i okres naruszenia obowiązków;</w:t>
            </w:r>
            <w:r w:rsidRPr="008164B6">
              <w:rPr>
                <w:rFonts w:asciiTheme="minorHAnsi" w:eastAsiaTheme="minorHAnsi" w:hAnsiTheme="minorHAnsi" w:cstheme="minorHAnsi"/>
                <w:b/>
                <w:bCs w:val="0"/>
                <w:i/>
                <w:sz w:val="22"/>
                <w:szCs w:val="22"/>
                <w:lang w:eastAsia="en-US"/>
              </w:rPr>
              <w:tab/>
            </w:r>
            <w:r w:rsidRPr="008164B6">
              <w:rPr>
                <w:rFonts w:asciiTheme="minorHAnsi" w:eastAsiaTheme="minorHAnsi" w:hAnsiTheme="minorHAnsi" w:cstheme="minorHAnsi"/>
                <w:b/>
                <w:bCs w:val="0"/>
                <w:i/>
                <w:sz w:val="22"/>
                <w:szCs w:val="22"/>
                <w:lang w:eastAsia="en-US"/>
              </w:rPr>
              <w:tab/>
            </w:r>
          </w:p>
          <w:p w14:paraId="4E3FE0E6" w14:textId="6C0F4EB6" w:rsidR="0059404D" w:rsidRPr="008164B6" w:rsidRDefault="0059404D" w:rsidP="0042202B">
            <w:pPr>
              <w:pStyle w:val="ZPKTzmpktartykuempunktem"/>
              <w:tabs>
                <w:tab w:val="left" w:pos="170"/>
                <w:tab w:val="left" w:pos="340"/>
                <w:tab w:val="left" w:pos="510"/>
                <w:tab w:val="left" w:pos="680"/>
                <w:tab w:val="left" w:pos="850"/>
                <w:tab w:val="left" w:pos="1020"/>
                <w:tab w:val="left" w:pos="1190"/>
                <w:tab w:val="left" w:pos="1360"/>
                <w:tab w:val="left" w:pos="1530"/>
                <w:tab w:val="left" w:pos="1700"/>
                <w:tab w:val="left" w:pos="1870"/>
                <w:tab w:val="left" w:pos="2040"/>
                <w:tab w:val="left" w:pos="2210"/>
                <w:tab w:val="left" w:pos="2380"/>
                <w:tab w:val="left" w:pos="2550"/>
                <w:tab w:val="left" w:pos="2720"/>
                <w:tab w:val="left" w:pos="2890"/>
                <w:tab w:val="left" w:pos="3060"/>
                <w:tab w:val="left" w:pos="3230"/>
                <w:tab w:val="left" w:pos="3400"/>
                <w:tab w:val="left" w:pos="3570"/>
                <w:tab w:val="left" w:pos="3740"/>
                <w:tab w:val="left" w:pos="3910"/>
                <w:tab w:val="left" w:pos="4080"/>
                <w:tab w:val="left" w:pos="4250"/>
                <w:tab w:val="left" w:pos="4420"/>
                <w:tab w:val="left" w:pos="4590"/>
                <w:tab w:val="left" w:pos="4760"/>
                <w:tab w:val="left" w:pos="4930"/>
                <w:tab w:val="left" w:pos="5100"/>
                <w:tab w:val="left" w:pos="5270"/>
                <w:tab w:val="left" w:pos="5440"/>
                <w:tab w:val="left" w:pos="5610"/>
                <w:tab w:val="left" w:pos="5780"/>
                <w:tab w:val="left" w:pos="5950"/>
                <w:tab w:val="left" w:pos="6120"/>
                <w:tab w:val="left" w:pos="6768"/>
              </w:tabs>
              <w:spacing w:line="240" w:lineRule="auto"/>
              <w:jc w:val="left"/>
              <w:rPr>
                <w:rFonts w:asciiTheme="minorHAnsi" w:eastAsiaTheme="minorHAnsi" w:hAnsiTheme="minorHAnsi" w:cstheme="minorHAnsi"/>
                <w:b/>
                <w:bCs w:val="0"/>
                <w:i/>
                <w:sz w:val="22"/>
                <w:szCs w:val="22"/>
                <w:lang w:eastAsia="en-US"/>
              </w:rPr>
            </w:pPr>
            <w:r w:rsidRPr="008164B6">
              <w:rPr>
                <w:rFonts w:asciiTheme="minorHAnsi" w:eastAsiaTheme="minorHAnsi" w:hAnsiTheme="minorHAnsi" w:cstheme="minorHAnsi"/>
                <w:b/>
                <w:bCs w:val="0"/>
                <w:i/>
                <w:sz w:val="22"/>
                <w:szCs w:val="22"/>
                <w:lang w:eastAsia="en-US"/>
              </w:rPr>
              <w:t xml:space="preserve">2) </w:t>
            </w:r>
            <w:r w:rsidRPr="008164B6">
              <w:rPr>
                <w:rFonts w:asciiTheme="minorHAnsi" w:eastAsiaTheme="minorHAnsi" w:hAnsiTheme="minorHAnsi" w:cstheme="minorHAnsi"/>
                <w:b/>
                <w:bCs w:val="0"/>
                <w:i/>
                <w:sz w:val="22"/>
                <w:szCs w:val="22"/>
                <w:lang w:eastAsia="en-US"/>
              </w:rPr>
              <w:tab/>
            </w:r>
            <w:r w:rsidRPr="008164B6">
              <w:rPr>
                <w:rFonts w:asciiTheme="minorHAnsi" w:eastAsiaTheme="minorHAnsi" w:hAnsiTheme="minorHAnsi" w:cstheme="minorHAnsi"/>
                <w:b/>
                <w:bCs w:val="0"/>
                <w:i/>
                <w:sz w:val="22"/>
                <w:szCs w:val="22"/>
                <w:lang w:eastAsia="en-US"/>
              </w:rPr>
              <w:tab/>
              <w:t>rodzaj i charakter stwierdzonych niezgodności z wymaganiami technicznymi lub stwarzanym poważnym ryzykiem</w:t>
            </w:r>
            <w:r>
              <w:t xml:space="preserve"> </w:t>
            </w:r>
            <w:r w:rsidRPr="004D78CD">
              <w:rPr>
                <w:rFonts w:asciiTheme="minorHAnsi" w:eastAsiaTheme="minorHAnsi" w:hAnsiTheme="minorHAnsi" w:cstheme="minorHAnsi"/>
                <w:b/>
                <w:bCs w:val="0"/>
                <w:i/>
                <w:sz w:val="22"/>
                <w:szCs w:val="22"/>
                <w:lang w:eastAsia="en-US"/>
              </w:rPr>
              <w:t>przez  pojazd, przedmiot wyposażenia lub część</w:t>
            </w:r>
            <w:r w:rsidRPr="008164B6">
              <w:rPr>
                <w:rFonts w:asciiTheme="minorHAnsi" w:eastAsiaTheme="minorHAnsi" w:hAnsiTheme="minorHAnsi" w:cstheme="minorHAnsi"/>
                <w:b/>
                <w:bCs w:val="0"/>
                <w:i/>
                <w:sz w:val="22"/>
                <w:szCs w:val="22"/>
                <w:lang w:eastAsia="en-US"/>
              </w:rPr>
              <w:t>;</w:t>
            </w:r>
          </w:p>
          <w:p w14:paraId="03A3BD3D" w14:textId="284777CB" w:rsidR="0059404D" w:rsidRPr="008164B6"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8164B6">
              <w:rPr>
                <w:rFonts w:asciiTheme="minorHAnsi" w:eastAsiaTheme="minorHAnsi" w:hAnsiTheme="minorHAnsi" w:cstheme="minorHAnsi"/>
                <w:b/>
                <w:bCs w:val="0"/>
                <w:i/>
                <w:sz w:val="22"/>
                <w:szCs w:val="22"/>
                <w:lang w:eastAsia="en-US"/>
              </w:rPr>
              <w:t>3)</w:t>
            </w:r>
            <w:r w:rsidRPr="008164B6">
              <w:rPr>
                <w:rFonts w:asciiTheme="minorHAnsi" w:eastAsiaTheme="minorHAnsi" w:hAnsiTheme="minorHAnsi" w:cstheme="minorHAnsi"/>
                <w:b/>
                <w:bCs w:val="0"/>
                <w:i/>
                <w:sz w:val="22"/>
                <w:szCs w:val="22"/>
                <w:lang w:eastAsia="en-US"/>
              </w:rPr>
              <w:tab/>
              <w:t>liczbę udostępnionych na rynku pojazdów</w:t>
            </w:r>
            <w:r>
              <w:rPr>
                <w:rFonts w:asciiTheme="minorHAnsi" w:eastAsiaTheme="minorHAnsi" w:hAnsiTheme="minorHAnsi" w:cstheme="minorHAnsi"/>
                <w:b/>
                <w:bCs w:val="0"/>
                <w:i/>
                <w:sz w:val="22"/>
                <w:szCs w:val="22"/>
                <w:lang w:eastAsia="en-US"/>
              </w:rPr>
              <w:t>,</w:t>
            </w:r>
            <w:r w:rsidRPr="008164B6">
              <w:rPr>
                <w:rFonts w:asciiTheme="minorHAnsi" w:eastAsiaTheme="minorHAnsi" w:hAnsiTheme="minorHAnsi" w:cstheme="minorHAnsi"/>
                <w:b/>
                <w:bCs w:val="0"/>
                <w:i/>
                <w:sz w:val="22"/>
                <w:szCs w:val="22"/>
                <w:lang w:eastAsia="en-US"/>
              </w:rPr>
              <w:t xml:space="preserve"> przedmiotów wyposażenia lub części niezgodnych z wymaganiami technicznymi albo liczbę pojazdów, w których dokonano montażu dodatkowej instalacji zasilania gazem pojazdu niezgodnie z wymaganiami, o których mowa w </w:t>
            </w:r>
            <w:r>
              <w:rPr>
                <w:rFonts w:asciiTheme="minorHAnsi" w:eastAsiaTheme="minorHAnsi" w:hAnsiTheme="minorHAnsi" w:cstheme="minorHAnsi"/>
                <w:b/>
                <w:bCs w:val="0"/>
                <w:i/>
                <w:sz w:val="22"/>
                <w:szCs w:val="22"/>
                <w:lang w:eastAsia="en-US"/>
              </w:rPr>
              <w:t xml:space="preserve">art. </w:t>
            </w:r>
            <w:r w:rsidRPr="008164B6">
              <w:rPr>
                <w:rFonts w:asciiTheme="minorHAnsi" w:eastAsiaTheme="minorHAnsi" w:hAnsiTheme="minorHAnsi" w:cstheme="minorHAnsi"/>
                <w:b/>
                <w:bCs w:val="0"/>
                <w:i/>
                <w:sz w:val="22"/>
                <w:szCs w:val="22"/>
                <w:lang w:eastAsia="en-US"/>
              </w:rPr>
              <w:t xml:space="preserve">14 </w:t>
            </w:r>
            <w:r>
              <w:rPr>
                <w:rFonts w:asciiTheme="minorHAnsi" w:eastAsiaTheme="minorHAnsi" w:hAnsiTheme="minorHAnsi" w:cstheme="minorHAnsi"/>
                <w:b/>
                <w:bCs w:val="0"/>
                <w:i/>
                <w:sz w:val="22"/>
                <w:szCs w:val="22"/>
                <w:lang w:eastAsia="en-US"/>
              </w:rPr>
              <w:t>ust.</w:t>
            </w:r>
            <w:r w:rsidRPr="008164B6">
              <w:rPr>
                <w:rFonts w:asciiTheme="minorHAnsi" w:eastAsiaTheme="minorHAnsi" w:hAnsiTheme="minorHAnsi" w:cstheme="minorHAnsi"/>
                <w:b/>
                <w:bCs w:val="0"/>
                <w:i/>
                <w:sz w:val="22"/>
                <w:szCs w:val="22"/>
                <w:lang w:eastAsia="en-US"/>
              </w:rPr>
              <w:t xml:space="preserve"> </w:t>
            </w:r>
            <w:r>
              <w:rPr>
                <w:rFonts w:asciiTheme="minorHAnsi" w:eastAsiaTheme="minorHAnsi" w:hAnsiTheme="minorHAnsi" w:cstheme="minorHAnsi"/>
                <w:b/>
                <w:bCs w:val="0"/>
                <w:i/>
                <w:sz w:val="22"/>
                <w:szCs w:val="22"/>
                <w:lang w:eastAsia="en-US"/>
              </w:rPr>
              <w:t>6</w:t>
            </w:r>
            <w:r w:rsidRPr="008164B6">
              <w:rPr>
                <w:rFonts w:asciiTheme="minorHAnsi" w:eastAsiaTheme="minorHAnsi" w:hAnsiTheme="minorHAnsi" w:cstheme="minorHAnsi"/>
                <w:b/>
                <w:bCs w:val="0"/>
                <w:i/>
                <w:sz w:val="22"/>
                <w:szCs w:val="22"/>
                <w:lang w:eastAsia="en-US"/>
              </w:rPr>
              <w:t>;</w:t>
            </w:r>
          </w:p>
          <w:p w14:paraId="3B9F6CEE" w14:textId="77777777" w:rsidR="0059404D" w:rsidRPr="008164B6"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8164B6">
              <w:rPr>
                <w:rFonts w:asciiTheme="minorHAnsi" w:eastAsiaTheme="minorHAnsi" w:hAnsiTheme="minorHAnsi" w:cstheme="minorHAnsi"/>
                <w:b/>
                <w:bCs w:val="0"/>
                <w:i/>
                <w:sz w:val="22"/>
                <w:szCs w:val="22"/>
                <w:lang w:eastAsia="en-US"/>
              </w:rPr>
              <w:lastRenderedPageBreak/>
              <w:t>4)</w:t>
            </w:r>
            <w:r w:rsidRPr="008164B6">
              <w:rPr>
                <w:rFonts w:asciiTheme="minorHAnsi" w:eastAsiaTheme="minorHAnsi" w:hAnsiTheme="minorHAnsi" w:cstheme="minorHAnsi"/>
                <w:b/>
                <w:bCs w:val="0"/>
                <w:i/>
                <w:sz w:val="22"/>
                <w:szCs w:val="22"/>
                <w:lang w:eastAsia="en-US"/>
              </w:rPr>
              <w:tab/>
              <w:t>uprzednie naruszenie obowiązków;</w:t>
            </w:r>
          </w:p>
          <w:p w14:paraId="6E22C0E6" w14:textId="77777777" w:rsidR="0059404D" w:rsidRPr="008164B6"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8164B6">
              <w:rPr>
                <w:rFonts w:asciiTheme="minorHAnsi" w:eastAsiaTheme="minorHAnsi" w:hAnsiTheme="minorHAnsi" w:cstheme="minorHAnsi"/>
                <w:b/>
                <w:bCs w:val="0"/>
                <w:i/>
                <w:sz w:val="22"/>
                <w:szCs w:val="22"/>
                <w:lang w:eastAsia="en-US"/>
              </w:rPr>
              <w:t>5)</w:t>
            </w:r>
            <w:r w:rsidRPr="008164B6">
              <w:rPr>
                <w:rFonts w:asciiTheme="minorHAnsi" w:eastAsiaTheme="minorHAnsi" w:hAnsiTheme="minorHAnsi" w:cstheme="minorHAnsi"/>
                <w:b/>
                <w:bCs w:val="0"/>
                <w:i/>
                <w:sz w:val="22"/>
                <w:szCs w:val="22"/>
                <w:lang w:eastAsia="en-US"/>
              </w:rPr>
              <w:tab/>
              <w:t>współpracę z Dyrektorem TDT jako organem nadzoru rynku, w tym przyczynienie się do szybkiego i sprawnego przeprowadzenia kontroli lub postępowania;</w:t>
            </w:r>
          </w:p>
          <w:p w14:paraId="464F1A9C" w14:textId="77777777" w:rsidR="0059404D" w:rsidRPr="008164B6"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8164B6">
              <w:rPr>
                <w:rFonts w:asciiTheme="minorHAnsi" w:eastAsiaTheme="minorHAnsi" w:hAnsiTheme="minorHAnsi" w:cstheme="minorHAnsi"/>
                <w:b/>
                <w:bCs w:val="0"/>
                <w:i/>
                <w:sz w:val="22"/>
                <w:szCs w:val="22"/>
                <w:lang w:eastAsia="en-US"/>
              </w:rPr>
              <w:t xml:space="preserve">6) </w:t>
            </w:r>
            <w:r w:rsidRPr="008164B6">
              <w:rPr>
                <w:rFonts w:asciiTheme="minorHAnsi" w:eastAsiaTheme="minorHAnsi" w:hAnsiTheme="minorHAnsi" w:cstheme="minorHAnsi"/>
                <w:b/>
                <w:bCs w:val="0"/>
                <w:i/>
                <w:sz w:val="22"/>
                <w:szCs w:val="22"/>
                <w:lang w:eastAsia="en-US"/>
              </w:rPr>
              <w:tab/>
              <w:t>zaprzestanie przez podmiot gospodarczy naruszenia obowiązków, o których mowa odpowiednio w art. 53a–53c oraz potwierdzenie realizacji tych obowiązków;</w:t>
            </w:r>
          </w:p>
          <w:p w14:paraId="480940E2" w14:textId="39B5DC46" w:rsidR="0059404D" w:rsidRPr="008164B6" w:rsidRDefault="0059404D" w:rsidP="0042202B">
            <w:pPr>
              <w:pStyle w:val="ZPKTzmpktartykuempunktem"/>
              <w:spacing w:line="240" w:lineRule="auto"/>
              <w:jc w:val="left"/>
            </w:pPr>
            <w:r w:rsidRPr="008164B6">
              <w:rPr>
                <w:rFonts w:asciiTheme="minorHAnsi" w:eastAsiaTheme="minorHAnsi" w:hAnsiTheme="minorHAnsi" w:cstheme="minorHAnsi"/>
                <w:b/>
                <w:bCs w:val="0"/>
                <w:i/>
                <w:sz w:val="22"/>
                <w:szCs w:val="22"/>
                <w:lang w:eastAsia="en-US"/>
              </w:rPr>
              <w:t>7)    </w:t>
            </w:r>
            <w:r>
              <w:rPr>
                <w:rFonts w:asciiTheme="minorHAnsi" w:eastAsiaTheme="minorHAnsi" w:hAnsiTheme="minorHAnsi" w:cstheme="minorHAnsi"/>
                <w:b/>
                <w:bCs w:val="0"/>
                <w:i/>
                <w:sz w:val="22"/>
                <w:szCs w:val="22"/>
                <w:lang w:eastAsia="en-US"/>
              </w:rPr>
              <w:t xml:space="preserve">   </w:t>
            </w:r>
            <w:r w:rsidRPr="008164B6">
              <w:rPr>
                <w:rFonts w:asciiTheme="minorHAnsi" w:eastAsiaTheme="minorHAnsi" w:hAnsiTheme="minorHAnsi" w:cstheme="minorHAnsi"/>
                <w:b/>
                <w:bCs w:val="0"/>
                <w:i/>
                <w:sz w:val="22"/>
                <w:szCs w:val="22"/>
                <w:lang w:eastAsia="en-US"/>
              </w:rPr>
              <w:t>zlecenie przez podmiot, który zamontował w pojeździe dodatkową instalację zasilania gazem pojazdu bez świadectwa homologacji montażu dodatkowej instalacji zasilania gazem pojazdu, uprawnionemu podmiotowi wymianę tej instalacji w pojeździe, na swój koszt, na instalację zgodną z takim świadectwem.</w:t>
            </w:r>
            <w:r>
              <w:rPr>
                <w:rFonts w:asciiTheme="minorHAnsi" w:eastAsiaTheme="minorHAnsi" w:hAnsiTheme="minorHAnsi" w:cstheme="minorHAnsi"/>
                <w:b/>
                <w:bCs w:val="0"/>
                <w:i/>
                <w:sz w:val="22"/>
                <w:szCs w:val="22"/>
                <w:lang w:eastAsia="en-US"/>
              </w:rPr>
              <w:t>”</w:t>
            </w:r>
          </w:p>
        </w:tc>
        <w:tc>
          <w:tcPr>
            <w:tcW w:w="3686" w:type="dxa"/>
          </w:tcPr>
          <w:p w14:paraId="324FB20D"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4CCA2254"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1DF7B489" w14:textId="77777777" w:rsidR="007B6387" w:rsidRDefault="007B6387" w:rsidP="0042202B">
            <w:pPr>
              <w:rPr>
                <w:rFonts w:cstheme="minorHAnsi"/>
                <w:b/>
              </w:rPr>
            </w:pPr>
          </w:p>
          <w:p w14:paraId="42D5A577"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749AC0A2" w14:textId="0193CBA2" w:rsidR="007B6387" w:rsidRPr="00A65DE6" w:rsidRDefault="007B6387" w:rsidP="0042202B">
            <w:pPr>
              <w:rPr>
                <w:rFonts w:cstheme="minorHAnsi"/>
                <w:b/>
              </w:rPr>
            </w:pPr>
          </w:p>
        </w:tc>
      </w:tr>
      <w:tr w:rsidR="0059404D" w:rsidRPr="00F515D6" w14:paraId="548427AF" w14:textId="6FDCFB96" w:rsidTr="00D76FE7">
        <w:tc>
          <w:tcPr>
            <w:tcW w:w="562" w:type="dxa"/>
          </w:tcPr>
          <w:p w14:paraId="0D5B0FC9" w14:textId="0A516879" w:rsidR="0059404D" w:rsidRPr="00932A4C" w:rsidRDefault="0059404D" w:rsidP="0042202B">
            <w:pPr>
              <w:rPr>
                <w:rFonts w:cstheme="minorHAnsi"/>
                <w:b/>
              </w:rPr>
            </w:pPr>
            <w:r w:rsidRPr="00932A4C">
              <w:rPr>
                <w:rFonts w:cstheme="minorHAnsi"/>
                <w:b/>
              </w:rPr>
              <w:lastRenderedPageBreak/>
              <w:t>20</w:t>
            </w:r>
          </w:p>
        </w:tc>
        <w:tc>
          <w:tcPr>
            <w:tcW w:w="993" w:type="dxa"/>
          </w:tcPr>
          <w:p w14:paraId="79795CCB" w14:textId="40F6655E" w:rsidR="0059404D" w:rsidRPr="00932A4C" w:rsidRDefault="0059404D" w:rsidP="0042202B">
            <w:pPr>
              <w:rPr>
                <w:rFonts w:cstheme="minorHAnsi"/>
                <w:b/>
              </w:rPr>
            </w:pPr>
            <w:r w:rsidRPr="00932A4C">
              <w:rPr>
                <w:rFonts w:cstheme="minorHAnsi"/>
                <w:b/>
              </w:rPr>
              <w:t>RCL</w:t>
            </w:r>
          </w:p>
        </w:tc>
        <w:tc>
          <w:tcPr>
            <w:tcW w:w="1701" w:type="dxa"/>
          </w:tcPr>
          <w:p w14:paraId="3FE9E297" w14:textId="43E445BE" w:rsidR="0059404D" w:rsidRPr="00932A4C" w:rsidRDefault="0059404D" w:rsidP="0042202B">
            <w:pPr>
              <w:rPr>
                <w:rFonts w:cstheme="minorHAnsi"/>
                <w:b/>
              </w:rPr>
            </w:pPr>
            <w:r w:rsidRPr="00932A4C">
              <w:rPr>
                <w:rFonts w:cstheme="minorHAnsi"/>
                <w:b/>
              </w:rPr>
              <w:t>Art. 71c ust. 4 UH</w:t>
            </w:r>
          </w:p>
        </w:tc>
        <w:tc>
          <w:tcPr>
            <w:tcW w:w="5953" w:type="dxa"/>
          </w:tcPr>
          <w:p w14:paraId="0AA684AA" w14:textId="302B58C2" w:rsidR="0059404D" w:rsidRPr="00932A4C" w:rsidRDefault="0059404D" w:rsidP="0042202B">
            <w:pPr>
              <w:widowControl w:val="0"/>
              <w:tabs>
                <w:tab w:val="left" w:pos="794"/>
              </w:tabs>
              <w:rPr>
                <w:rFonts w:cstheme="minorHAnsi"/>
                <w:b/>
              </w:rPr>
            </w:pPr>
            <w:r w:rsidRPr="00932A4C">
              <w:rPr>
                <w:rFonts w:cstheme="minorHAnsi"/>
                <w:b/>
              </w:rPr>
              <w:t xml:space="preserve">W art. 71c ust. 4 ustawy (art. 1 pkt 13 projektu) Wnioskodawca zaproponował, aby przy wydawaniu decyzji o nałożeniu administracyjnej kary pieniężnej, o której mowa w art. 71a lub art. 71b ustawy, </w:t>
            </w:r>
            <w:r w:rsidRPr="00932A4C">
              <w:rPr>
                <w:rStyle w:val="Teksttreci20"/>
                <w:rFonts w:asciiTheme="minorHAnsi" w:eastAsiaTheme="minorHAnsi" w:hAnsiTheme="minorHAnsi" w:cstheme="minorHAnsi"/>
                <w:b/>
                <w:sz w:val="22"/>
                <w:szCs w:val="22"/>
                <w:u w:val="none"/>
              </w:rPr>
              <w:t>nie stosowano przepisu art. 189f</w:t>
            </w:r>
            <w:r w:rsidRPr="00932A4C">
              <w:rPr>
                <w:rFonts w:cstheme="minorHAnsi"/>
                <w:b/>
              </w:rPr>
              <w:t xml:space="preserve"> Kodeksu postępowania administracyjnego zawierającego przesłanki, których wystąpienie powoduje obligatoryjne odstąpienie od nałożenia administracyjnej kary pieniężnej, przy czym zauważa się, że wprowadzenie takiego wyłączenia wymaga podania szczegółowego wyjaśnienia w uzasadnieniu do projektu. Jednocześnie w projektowanych art. 71c ust. 5 i 6 ustawy Wnioskodawca zaproponował przepisy, które wskazują kiedy Dyrektor TDT </w:t>
            </w:r>
            <w:r w:rsidRPr="00932A4C">
              <w:rPr>
                <w:rStyle w:val="Teksttreci20"/>
                <w:rFonts w:asciiTheme="minorHAnsi" w:eastAsiaTheme="minorHAnsi" w:hAnsiTheme="minorHAnsi" w:cstheme="minorHAnsi"/>
                <w:b/>
                <w:sz w:val="22"/>
                <w:szCs w:val="22"/>
                <w:u w:val="none"/>
              </w:rPr>
              <w:t>może odstąpić</w:t>
            </w:r>
            <w:r w:rsidRPr="00932A4C">
              <w:rPr>
                <w:rFonts w:cstheme="minorHAnsi"/>
                <w:b/>
              </w:rPr>
              <w:t xml:space="preserve"> od nałożenia niektórych administracyjnych kar pieniężnych. Zastrzeżenia budzi proponowana w tych przepisach fakultatywność, która skutkuje swobodą i uznaniowością organu, a w konsekwencji może powodować nierówne traktowanie podmiotów. W tym kontekście, a także mając na względzie, że proponowane przypadki odstąpienia od nałożenia administracyjnych kar pieniężnych są precyzyjnie określone, RCL rekomenduje, aby przepisy o odstąpieniu określały kiedy Dyrektor TDT odstępuje, a nie może odstąpić od nałożenia niektórych administracyjnych kar pieniężnych.</w:t>
            </w:r>
          </w:p>
        </w:tc>
        <w:tc>
          <w:tcPr>
            <w:tcW w:w="3827" w:type="dxa"/>
          </w:tcPr>
          <w:p w14:paraId="2D91E1DC" w14:textId="2AD940E0" w:rsidR="0059404D" w:rsidRPr="00932A4C" w:rsidRDefault="0059404D" w:rsidP="0042202B">
            <w:pPr>
              <w:rPr>
                <w:rFonts w:cstheme="minorHAnsi"/>
                <w:b/>
              </w:rPr>
            </w:pPr>
            <w:r w:rsidRPr="00932A4C">
              <w:rPr>
                <w:rFonts w:cstheme="minorHAnsi"/>
                <w:b/>
              </w:rPr>
              <w:t>Uwaga wyjaśniona –</w:t>
            </w:r>
            <w:r>
              <w:rPr>
                <w:rFonts w:cstheme="minorHAnsi"/>
                <w:b/>
              </w:rPr>
              <w:t xml:space="preserve"> </w:t>
            </w:r>
            <w:r w:rsidRPr="00932A4C">
              <w:rPr>
                <w:rFonts w:cstheme="minorHAnsi"/>
                <w:b/>
              </w:rPr>
              <w:t xml:space="preserve">wyjaśnienie odstąpienia </w:t>
            </w:r>
            <w:r>
              <w:rPr>
                <w:rFonts w:cstheme="minorHAnsi"/>
                <w:b/>
              </w:rPr>
              <w:t xml:space="preserve">w projekcie </w:t>
            </w:r>
            <w:r w:rsidRPr="00932A4C">
              <w:rPr>
                <w:rFonts w:cstheme="minorHAnsi"/>
                <w:b/>
              </w:rPr>
              <w:t>od stosowania art. 189f Kpa</w:t>
            </w:r>
            <w:r>
              <w:rPr>
                <w:rFonts w:cstheme="minorHAnsi"/>
                <w:b/>
              </w:rPr>
              <w:t xml:space="preserve"> w uzasadnieniu jak poniżej </w:t>
            </w:r>
            <w:r w:rsidRPr="00932A4C">
              <w:rPr>
                <w:rFonts w:cstheme="minorHAnsi"/>
                <w:b/>
              </w:rPr>
              <w:t>–</w:t>
            </w:r>
            <w:r>
              <w:rPr>
                <w:rFonts w:cstheme="minorHAnsi"/>
                <w:b/>
              </w:rPr>
              <w:t xml:space="preserve"> przepisy UE przewidują konieczność nakładania sankcji, bez możliwości odstąpienia od ich wymierzenia</w:t>
            </w:r>
            <w:r w:rsidRPr="00932A4C">
              <w:rPr>
                <w:rFonts w:cstheme="minorHAnsi"/>
                <w:b/>
              </w:rPr>
              <w:t>.</w:t>
            </w:r>
          </w:p>
          <w:p w14:paraId="23E4D47F" w14:textId="4881B211" w:rsidR="0059404D" w:rsidRPr="00932A4C" w:rsidRDefault="0059404D" w:rsidP="0042202B">
            <w:pPr>
              <w:rPr>
                <w:rFonts w:cstheme="minorHAnsi"/>
                <w:b/>
              </w:rPr>
            </w:pPr>
            <w:r w:rsidRPr="00932A4C">
              <w:rPr>
                <w:rFonts w:cstheme="minorHAnsi"/>
                <w:b/>
              </w:rPr>
              <w:t>Jednocześnie zgodnie z pkt 19</w:t>
            </w:r>
            <w:r>
              <w:rPr>
                <w:rFonts w:cstheme="minorHAnsi"/>
                <w:b/>
              </w:rPr>
              <w:t xml:space="preserve"> tabeli</w:t>
            </w:r>
            <w:r w:rsidRPr="00932A4C">
              <w:rPr>
                <w:rFonts w:cstheme="minorHAnsi"/>
                <w:b/>
              </w:rPr>
              <w:t xml:space="preserve"> usunięto ust. 5 i 6 art. 71c</w:t>
            </w:r>
          </w:p>
          <w:p w14:paraId="2B9169CB" w14:textId="7F420970" w:rsidR="0059404D" w:rsidRPr="00ED6F62" w:rsidRDefault="0059404D" w:rsidP="0042202B">
            <w:pPr>
              <w:rPr>
                <w:b/>
                <w:i/>
              </w:rPr>
            </w:pPr>
            <w:r w:rsidRPr="00ED6F62">
              <w:rPr>
                <w:b/>
                <w:i/>
              </w:rPr>
              <w:t>Zgodnie z art. 84 rozporządzenia 2018/858 państwa członkowskie mają obowiązek ustanowić przepisy dotyczące sankcji za naruszenia przez podmioty gospodarcze przepisów tego rozporządzenia. Sankcje muszą być skuteczne, proporcjonalne i odstraszające. W szczególności sankcje mają być proporcjonalne do powagi braku zgodności i liczby niezgodnych z wymogami pojazdów, przedmiotów wyposażenia i części. Państwa członkowskie mają obowiązek przynajmniej objąć sankcjami następujące naruszenia:</w:t>
            </w:r>
          </w:p>
          <w:p w14:paraId="04945D1A" w14:textId="77777777" w:rsidR="0059404D" w:rsidRPr="00ED6F62" w:rsidRDefault="0059404D" w:rsidP="0042202B">
            <w:pPr>
              <w:numPr>
                <w:ilvl w:val="0"/>
                <w:numId w:val="14"/>
              </w:numPr>
              <w:contextualSpacing/>
              <w:rPr>
                <w:b/>
                <w:i/>
              </w:rPr>
            </w:pPr>
            <w:r w:rsidRPr="00ED6F62">
              <w:rPr>
                <w:rFonts w:eastAsia="Times New Roman" w:cstheme="minorHAnsi"/>
                <w:b/>
                <w:i/>
                <w:color w:val="333333"/>
                <w:lang w:eastAsia="pl-PL"/>
              </w:rPr>
              <w:t xml:space="preserve">składanie fałszywych oświadczeń w trakcie procedur homologacyjnych lub podczas wprowadzania środków naprawczych lub </w:t>
            </w:r>
            <w:r w:rsidRPr="00ED6F62">
              <w:rPr>
                <w:rFonts w:eastAsia="Times New Roman" w:cstheme="minorHAnsi"/>
                <w:b/>
                <w:i/>
                <w:color w:val="333333"/>
                <w:lang w:eastAsia="pl-PL"/>
              </w:rPr>
              <w:lastRenderedPageBreak/>
              <w:t>ograniczających zgodnie z rozdziałem XI,</w:t>
            </w:r>
          </w:p>
          <w:p w14:paraId="4AC46571" w14:textId="77777777" w:rsidR="0059404D" w:rsidRPr="00ED6F62" w:rsidRDefault="0059404D" w:rsidP="0042202B">
            <w:pPr>
              <w:numPr>
                <w:ilvl w:val="0"/>
                <w:numId w:val="14"/>
              </w:numPr>
              <w:contextualSpacing/>
              <w:rPr>
                <w:b/>
                <w:i/>
              </w:rPr>
            </w:pPr>
            <w:r w:rsidRPr="00ED6F62">
              <w:rPr>
                <w:rFonts w:eastAsia="Times New Roman" w:cstheme="minorHAnsi"/>
                <w:b/>
                <w:i/>
                <w:color w:val="333333"/>
                <w:lang w:eastAsia="pl-PL"/>
              </w:rPr>
              <w:t>fałszowanie wyników badań w zakresie homologacji typu lub nadzoru rynku,</w:t>
            </w:r>
          </w:p>
          <w:p w14:paraId="6B748653" w14:textId="77777777" w:rsidR="0059404D" w:rsidRPr="00ED6F62" w:rsidRDefault="0059404D" w:rsidP="0042202B">
            <w:pPr>
              <w:numPr>
                <w:ilvl w:val="0"/>
                <w:numId w:val="14"/>
              </w:numPr>
              <w:contextualSpacing/>
              <w:rPr>
                <w:b/>
                <w:i/>
              </w:rPr>
            </w:pPr>
            <w:r w:rsidRPr="00ED6F62">
              <w:rPr>
                <w:rFonts w:eastAsia="Times New Roman" w:cstheme="minorHAnsi"/>
                <w:b/>
                <w:i/>
                <w:color w:val="333333"/>
                <w:lang w:eastAsia="pl-PL"/>
              </w:rPr>
              <w:t>zatajanie danych lub specyfikacji technicznych, które mogłoby prowadzić do wycofania pojazdów, układów, komponentów i oddzielnych zespołów technicznych od użytkowników, lub do odmowy wydania lub cofnięcia świadectwa homologacji typu UE,</w:t>
            </w:r>
          </w:p>
          <w:p w14:paraId="70521C07" w14:textId="77777777" w:rsidR="0059404D" w:rsidRPr="00ED6F62" w:rsidRDefault="0059404D" w:rsidP="0042202B">
            <w:pPr>
              <w:numPr>
                <w:ilvl w:val="0"/>
                <w:numId w:val="14"/>
              </w:numPr>
              <w:contextualSpacing/>
              <w:rPr>
                <w:b/>
                <w:i/>
              </w:rPr>
            </w:pPr>
            <w:r w:rsidRPr="00ED6F62">
              <w:rPr>
                <w:rFonts w:eastAsia="Times New Roman" w:cstheme="minorHAnsi"/>
                <w:b/>
                <w:i/>
                <w:color w:val="333333"/>
                <w:lang w:eastAsia="pl-PL"/>
              </w:rPr>
              <w:t>niespełnianie przez służby techniczne wymogów w zakresie ich wyznaczenia,</w:t>
            </w:r>
          </w:p>
          <w:p w14:paraId="77DE0657" w14:textId="77777777" w:rsidR="0059404D" w:rsidRDefault="0059404D" w:rsidP="0042202B">
            <w:pPr>
              <w:numPr>
                <w:ilvl w:val="0"/>
                <w:numId w:val="14"/>
              </w:numPr>
              <w:contextualSpacing/>
              <w:rPr>
                <w:b/>
                <w:i/>
              </w:rPr>
            </w:pPr>
            <w:r w:rsidRPr="00ED6F62">
              <w:rPr>
                <w:rFonts w:eastAsia="Times New Roman" w:cstheme="minorHAnsi"/>
                <w:b/>
                <w:i/>
                <w:color w:val="333333"/>
                <w:lang w:eastAsia="pl-PL"/>
              </w:rPr>
              <w:t>odmowa udzielenia dostępu do informacji,</w:t>
            </w:r>
          </w:p>
          <w:p w14:paraId="6A583207" w14:textId="74017B24" w:rsidR="0059404D" w:rsidRPr="00ED6F62" w:rsidRDefault="0059404D" w:rsidP="0042202B">
            <w:pPr>
              <w:numPr>
                <w:ilvl w:val="0"/>
                <w:numId w:val="14"/>
              </w:numPr>
              <w:contextualSpacing/>
              <w:rPr>
                <w:b/>
                <w:i/>
              </w:rPr>
            </w:pPr>
            <w:r w:rsidRPr="00ED6F62">
              <w:rPr>
                <w:rFonts w:eastAsia="Times New Roman" w:cstheme="minorHAnsi"/>
                <w:b/>
                <w:i/>
                <w:color w:val="333333"/>
                <w:lang w:eastAsia="pl-PL"/>
              </w:rPr>
              <w:t xml:space="preserve">udostępnianie na rynku pojazdów, układów, komponentów lub oddzielnych zespołów technicznych podlegających homologacji bez uzyskania takiej homologacji lub fałszowanie w tym celu dokumentów, świadectw zgodności, tabliczek </w:t>
            </w:r>
            <w:r w:rsidRPr="00ED6F62">
              <w:rPr>
                <w:rFonts w:eastAsia="Times New Roman" w:cstheme="minorHAnsi"/>
                <w:b/>
                <w:i/>
                <w:color w:val="333333"/>
                <w:lang w:eastAsia="pl-PL"/>
              </w:rPr>
              <w:lastRenderedPageBreak/>
              <w:t>znamionowych lub oznaczeń homologacji.</w:t>
            </w:r>
          </w:p>
        </w:tc>
        <w:tc>
          <w:tcPr>
            <w:tcW w:w="3686" w:type="dxa"/>
          </w:tcPr>
          <w:p w14:paraId="43ED24D5"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53AEA973"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2AB8C9D4" w14:textId="77777777" w:rsidR="007B6387" w:rsidRDefault="007B6387" w:rsidP="0042202B">
            <w:pPr>
              <w:rPr>
                <w:rFonts w:cstheme="minorHAnsi"/>
                <w:b/>
              </w:rPr>
            </w:pPr>
          </w:p>
          <w:p w14:paraId="1BE0EC23"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0BACA9B3" w14:textId="0E23A2F5" w:rsidR="007B6387" w:rsidRPr="00932A4C" w:rsidRDefault="007B6387" w:rsidP="0042202B">
            <w:pPr>
              <w:rPr>
                <w:rFonts w:cstheme="minorHAnsi"/>
                <w:b/>
              </w:rPr>
            </w:pPr>
          </w:p>
        </w:tc>
      </w:tr>
      <w:tr w:rsidR="0059404D" w:rsidRPr="00F515D6" w14:paraId="1CDED688" w14:textId="79F6E368" w:rsidTr="00D76FE7">
        <w:tc>
          <w:tcPr>
            <w:tcW w:w="562" w:type="dxa"/>
          </w:tcPr>
          <w:p w14:paraId="6CF3490D" w14:textId="4A0DFA50" w:rsidR="0059404D" w:rsidRPr="00932A4C" w:rsidRDefault="0059404D" w:rsidP="0042202B">
            <w:pPr>
              <w:rPr>
                <w:rFonts w:cstheme="minorHAnsi"/>
                <w:b/>
              </w:rPr>
            </w:pPr>
            <w:r w:rsidRPr="00932A4C">
              <w:rPr>
                <w:rFonts w:cstheme="minorHAnsi"/>
                <w:b/>
              </w:rPr>
              <w:lastRenderedPageBreak/>
              <w:t>21</w:t>
            </w:r>
          </w:p>
        </w:tc>
        <w:tc>
          <w:tcPr>
            <w:tcW w:w="993" w:type="dxa"/>
          </w:tcPr>
          <w:p w14:paraId="4C4667D1" w14:textId="356FFAA8" w:rsidR="0059404D" w:rsidRPr="00932A4C" w:rsidRDefault="0059404D" w:rsidP="0042202B">
            <w:pPr>
              <w:rPr>
                <w:rFonts w:cstheme="minorHAnsi"/>
                <w:b/>
              </w:rPr>
            </w:pPr>
            <w:r w:rsidRPr="00932A4C">
              <w:rPr>
                <w:rFonts w:cstheme="minorHAnsi"/>
                <w:b/>
              </w:rPr>
              <w:t>RCL</w:t>
            </w:r>
          </w:p>
        </w:tc>
        <w:tc>
          <w:tcPr>
            <w:tcW w:w="1701" w:type="dxa"/>
          </w:tcPr>
          <w:p w14:paraId="44098C93" w14:textId="01760CA0" w:rsidR="0059404D" w:rsidRPr="00932A4C" w:rsidRDefault="0059404D" w:rsidP="0042202B">
            <w:pPr>
              <w:rPr>
                <w:rFonts w:cstheme="minorHAnsi"/>
                <w:b/>
              </w:rPr>
            </w:pPr>
            <w:r w:rsidRPr="00932A4C">
              <w:rPr>
                <w:rFonts w:cstheme="minorHAnsi"/>
                <w:b/>
              </w:rPr>
              <w:t>Art. 71c ust. 7 UH</w:t>
            </w:r>
          </w:p>
        </w:tc>
        <w:tc>
          <w:tcPr>
            <w:tcW w:w="5953" w:type="dxa"/>
          </w:tcPr>
          <w:p w14:paraId="3D62C077" w14:textId="08E0F293" w:rsidR="0059404D" w:rsidRPr="00F030B5" w:rsidRDefault="0059404D" w:rsidP="0042202B">
            <w:pPr>
              <w:widowControl w:val="0"/>
              <w:numPr>
                <w:ilvl w:val="0"/>
                <w:numId w:val="5"/>
              </w:numPr>
              <w:tabs>
                <w:tab w:val="left" w:pos="794"/>
              </w:tabs>
              <w:ind w:hanging="567"/>
              <w:rPr>
                <w:rFonts w:cstheme="minorHAnsi"/>
                <w:b/>
              </w:rPr>
            </w:pPr>
            <w:r w:rsidRPr="00932A4C">
              <w:rPr>
                <w:rFonts w:cstheme="minorHAnsi"/>
                <w:b/>
              </w:rPr>
              <w:t>Zastrzeżenia budzi proponowany art. 71c ust. 7 ustawy (art. 1 pkt 13 projektu), który wskazuje, że wysokość administracyjnej kary pieniężnej nie może przekroczyć 90% ceny rynkowej za jaką oferowany jest pojazd, przedmiot wyposażenia lub część przez podmiot gospodarczy lub wysokości, o których mowa w projektowanych art. 71a i art. 71b w zakresie określenia dodatkowej górnej granicy wysokości kary w stosunku do granic określonych w art. 71a i art. 71b oraz w zakresie użycia spójnika „lub”. Z uwagi na powyższe proponowane przepisy wymagają ponownej analizy i korekty tak, aby nie budziło wątpliwości, jaka jest górna wysokość proponowanych administracyjnych kar pieniężnych - powinna to być jedna, wyraźnie określona maksymalna wysokość.</w:t>
            </w:r>
          </w:p>
        </w:tc>
        <w:tc>
          <w:tcPr>
            <w:tcW w:w="3827" w:type="dxa"/>
          </w:tcPr>
          <w:p w14:paraId="5B27B1DA" w14:textId="75BABFA8" w:rsidR="0059404D" w:rsidRPr="00932A4C" w:rsidRDefault="0059404D" w:rsidP="0042202B">
            <w:pPr>
              <w:rPr>
                <w:rFonts w:cstheme="minorHAnsi"/>
                <w:b/>
              </w:rPr>
            </w:pPr>
            <w:r w:rsidRPr="00932A4C">
              <w:rPr>
                <w:rFonts w:cstheme="minorHAnsi"/>
                <w:b/>
              </w:rPr>
              <w:t xml:space="preserve">Uwaga uwzględniona – przepis wykreślono. </w:t>
            </w:r>
          </w:p>
        </w:tc>
        <w:tc>
          <w:tcPr>
            <w:tcW w:w="3686" w:type="dxa"/>
          </w:tcPr>
          <w:p w14:paraId="65EE78E8"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23B01911"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623DF6C7" w14:textId="77777777" w:rsidR="007B6387" w:rsidRDefault="007B6387" w:rsidP="0042202B">
            <w:pPr>
              <w:rPr>
                <w:rFonts w:cstheme="minorHAnsi"/>
                <w:b/>
              </w:rPr>
            </w:pPr>
          </w:p>
          <w:p w14:paraId="7E31184A"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0F7F1381" w14:textId="35BE57E0" w:rsidR="007B6387" w:rsidRPr="00932A4C" w:rsidRDefault="007B6387" w:rsidP="0042202B">
            <w:pPr>
              <w:rPr>
                <w:rFonts w:cstheme="minorHAnsi"/>
                <w:b/>
              </w:rPr>
            </w:pPr>
          </w:p>
        </w:tc>
      </w:tr>
      <w:tr w:rsidR="0059404D" w:rsidRPr="00F515D6" w14:paraId="4B369280" w14:textId="191C061F" w:rsidTr="00D76FE7">
        <w:tc>
          <w:tcPr>
            <w:tcW w:w="562" w:type="dxa"/>
          </w:tcPr>
          <w:p w14:paraId="5D323BD1" w14:textId="1D7C2F00" w:rsidR="0059404D" w:rsidRPr="00F030B5" w:rsidRDefault="0059404D" w:rsidP="0042202B">
            <w:pPr>
              <w:rPr>
                <w:rFonts w:cstheme="minorHAnsi"/>
                <w:b/>
              </w:rPr>
            </w:pPr>
            <w:r w:rsidRPr="00F030B5">
              <w:rPr>
                <w:rFonts w:cstheme="minorHAnsi"/>
                <w:b/>
              </w:rPr>
              <w:t>22</w:t>
            </w:r>
          </w:p>
        </w:tc>
        <w:tc>
          <w:tcPr>
            <w:tcW w:w="993" w:type="dxa"/>
          </w:tcPr>
          <w:p w14:paraId="633B6139" w14:textId="77777777" w:rsidR="0059404D" w:rsidRDefault="0059404D" w:rsidP="0042202B">
            <w:pPr>
              <w:rPr>
                <w:rFonts w:cstheme="minorHAnsi"/>
                <w:b/>
              </w:rPr>
            </w:pPr>
            <w:r w:rsidRPr="00F030B5">
              <w:rPr>
                <w:rFonts w:cstheme="minorHAnsi"/>
                <w:b/>
              </w:rPr>
              <w:t>RCL</w:t>
            </w:r>
          </w:p>
          <w:p w14:paraId="2BB97A44" w14:textId="77777777" w:rsidR="0059404D" w:rsidRDefault="0059404D" w:rsidP="0042202B">
            <w:pPr>
              <w:rPr>
                <w:rFonts w:cstheme="minorHAnsi"/>
                <w:b/>
                <w:color w:val="00B050"/>
              </w:rPr>
            </w:pPr>
            <w:r>
              <w:rPr>
                <w:rFonts w:cstheme="minorHAnsi"/>
                <w:b/>
                <w:color w:val="00B050"/>
              </w:rPr>
              <w:t>+uwaga 31 MSWIA</w:t>
            </w:r>
          </w:p>
          <w:p w14:paraId="2575EBC7" w14:textId="77777777" w:rsidR="0059404D" w:rsidRDefault="0059404D" w:rsidP="0042202B">
            <w:pPr>
              <w:rPr>
                <w:rFonts w:cstheme="minorHAnsi"/>
                <w:b/>
                <w:color w:val="00B050"/>
              </w:rPr>
            </w:pPr>
          </w:p>
          <w:p w14:paraId="05758D35" w14:textId="77777777" w:rsidR="0059404D" w:rsidRDefault="0059404D" w:rsidP="0042202B">
            <w:pPr>
              <w:rPr>
                <w:rFonts w:cstheme="minorHAnsi"/>
                <w:b/>
                <w:color w:val="00B050"/>
              </w:rPr>
            </w:pPr>
            <w:r>
              <w:rPr>
                <w:rFonts w:cstheme="minorHAnsi"/>
                <w:b/>
                <w:color w:val="00B050"/>
              </w:rPr>
              <w:t>+uwaga 62 MC</w:t>
            </w:r>
          </w:p>
          <w:p w14:paraId="456577A0" w14:textId="77777777" w:rsidR="0059404D" w:rsidRDefault="0059404D" w:rsidP="0042202B">
            <w:pPr>
              <w:rPr>
                <w:rFonts w:cstheme="minorHAnsi"/>
                <w:b/>
                <w:color w:val="00B050"/>
              </w:rPr>
            </w:pPr>
          </w:p>
          <w:p w14:paraId="6B2D9FDC" w14:textId="066DE315" w:rsidR="0059404D" w:rsidRPr="00CA12FC" w:rsidRDefault="0059404D" w:rsidP="0042202B">
            <w:pPr>
              <w:rPr>
                <w:rFonts w:cstheme="minorHAnsi"/>
                <w:b/>
                <w:color w:val="00B050"/>
              </w:rPr>
            </w:pPr>
            <w:r>
              <w:rPr>
                <w:rFonts w:cstheme="minorHAnsi"/>
                <w:b/>
                <w:color w:val="00B050"/>
              </w:rPr>
              <w:t xml:space="preserve">+ uwaga 69 MC (dot. art. </w:t>
            </w:r>
            <w:r>
              <w:rPr>
                <w:rFonts w:cstheme="minorHAnsi"/>
                <w:b/>
                <w:color w:val="00B050"/>
              </w:rPr>
              <w:lastRenderedPageBreak/>
              <w:t>73aa ust. 1a)</w:t>
            </w:r>
          </w:p>
        </w:tc>
        <w:tc>
          <w:tcPr>
            <w:tcW w:w="1701" w:type="dxa"/>
          </w:tcPr>
          <w:p w14:paraId="505A9A15" w14:textId="742665E2" w:rsidR="0059404D" w:rsidRPr="00F030B5" w:rsidRDefault="0059404D" w:rsidP="0042202B">
            <w:pPr>
              <w:rPr>
                <w:rFonts w:cstheme="minorHAnsi"/>
                <w:b/>
              </w:rPr>
            </w:pPr>
            <w:r w:rsidRPr="00F030B5">
              <w:rPr>
                <w:rFonts w:cstheme="minorHAnsi"/>
                <w:b/>
              </w:rPr>
              <w:lastRenderedPageBreak/>
              <w:t>Art. 2  projektu ustawy zmieniającej, dalej „UZ”</w:t>
            </w:r>
          </w:p>
        </w:tc>
        <w:tc>
          <w:tcPr>
            <w:tcW w:w="5953" w:type="dxa"/>
          </w:tcPr>
          <w:p w14:paraId="270AAB05" w14:textId="77777777" w:rsidR="0059404D" w:rsidRPr="00F030B5" w:rsidRDefault="0059404D" w:rsidP="0042202B">
            <w:pPr>
              <w:widowControl w:val="0"/>
              <w:numPr>
                <w:ilvl w:val="0"/>
                <w:numId w:val="5"/>
              </w:numPr>
              <w:tabs>
                <w:tab w:val="left" w:pos="794"/>
              </w:tabs>
              <w:ind w:hanging="567"/>
              <w:rPr>
                <w:rFonts w:cstheme="minorHAnsi"/>
                <w:b/>
              </w:rPr>
            </w:pPr>
            <w:bookmarkStart w:id="24" w:name="_Hlk219358855"/>
            <w:r w:rsidRPr="00F030B5">
              <w:rPr>
                <w:rFonts w:cstheme="minorHAnsi"/>
                <w:b/>
              </w:rPr>
              <w:t>W art. 2 projektu, w którym są proponowane zmiany w ustawie z dnia 20 czerwca 1997 r. - Prawo o ruchu drogowym:</w:t>
            </w:r>
          </w:p>
          <w:p w14:paraId="5F4FA5B2" w14:textId="4542DE80" w:rsidR="0059404D" w:rsidRPr="00F030B5" w:rsidRDefault="0059404D" w:rsidP="0042202B">
            <w:pPr>
              <w:widowControl w:val="0"/>
              <w:numPr>
                <w:ilvl w:val="0"/>
                <w:numId w:val="8"/>
              </w:numPr>
              <w:tabs>
                <w:tab w:val="left" w:pos="1146"/>
              </w:tabs>
              <w:ind w:hanging="400"/>
              <w:rPr>
                <w:rFonts w:cstheme="minorHAnsi"/>
                <w:b/>
              </w:rPr>
            </w:pPr>
            <w:r w:rsidRPr="00F030B5">
              <w:rPr>
                <w:rFonts w:cstheme="minorHAnsi"/>
                <w:b/>
              </w:rPr>
              <w:t>1) w pkt 1 dodawany art. 66 ust. 4 pkt 5a, zgodnie z którym zabrania się przebudowy samochodów osobowych przeznaczonych do zawodów sportowych dopuszczonych do ruchu na podstawie art. 74 ust. 2ca w celu spełnienia przez te pojazdy warunków określonych w art. 66 na potrzeby ich rejestracji na podstawie art. 73 ust. 1, należy odpowiednio skorygować, gdyż art. 74 ust. 2ca ww. ustawy stanowi podstawę czasowej rejestracji pojazdu, a nie jego dopuszczenia do ruchu;</w:t>
            </w:r>
          </w:p>
          <w:bookmarkEnd w:id="24"/>
          <w:p w14:paraId="0D94976D" w14:textId="65700E45" w:rsidR="0059404D" w:rsidRPr="00F030B5" w:rsidRDefault="0059404D" w:rsidP="0042202B">
            <w:pPr>
              <w:widowControl w:val="0"/>
              <w:numPr>
                <w:ilvl w:val="0"/>
                <w:numId w:val="8"/>
              </w:numPr>
              <w:tabs>
                <w:tab w:val="left" w:pos="1146"/>
              </w:tabs>
              <w:ind w:hanging="400"/>
              <w:rPr>
                <w:rFonts w:cstheme="minorHAnsi"/>
                <w:b/>
              </w:rPr>
            </w:pPr>
            <w:r w:rsidRPr="00F030B5">
              <w:rPr>
                <w:rFonts w:cstheme="minorHAnsi"/>
                <w:b/>
              </w:rPr>
              <w:t xml:space="preserve">2) w pkt 3 lit. c zastrzeżenia budzi przepis upoważniający określony w dodawanym art. 71 ust. 8, zgodnie z którym </w:t>
            </w:r>
            <w:r w:rsidRPr="00F030B5">
              <w:rPr>
                <w:rFonts w:cstheme="minorHAnsi"/>
                <w:b/>
              </w:rPr>
              <w:lastRenderedPageBreak/>
              <w:t xml:space="preserve">minister właściwy do spraw wewnętrznych, w porozumieniu z ministrem właściwym do spraw transportu, ministrem właściwym do spraw informatyzacji oraz ministrem właściwym do spraw finansów publicznych i instytucji finansowych określi, w drodze rozporządzenia, sposób weryfikacji przez organy rejestrujące pojazdy miejsca stałego zamieszkania, o którym mowa w art. 73aa ust. 1b, z uwzględnieniem innych baz i rejestrów, w których gromadzone są dane o obcokrajowcach; po pierwsze przepis zawiera błędne odesłanie do projektowanego art. 73aa ust. 1b, który nie odnosi się do miejsca stałego zamieszkania, a jedynie wskazuje termin złożenia wniosku o rejestrację pojazdu; jednocześnie zauważa się, że do miejsca stałego zamieszkania odnosi się projektowany art. 73aa ust. 1d; po drugie wątpliwości budzi, w jaki sposób będzie możliwa weryfikacja miejsca stałego zamieszkania, biorąc pod uwagę treść projektowanego art. 73aa ust. 1d, zgodnie z którym poprzez miejsce stałego zamieszkania rozumie się miejsce na terytorium Rzeczypospolitej Polskiej, w którym osoba fizyczna przebywa lub ma zamiar przebywać przez co najmniej 185 dni w roku kalendarzowym, </w:t>
            </w:r>
            <w:r w:rsidRPr="00F030B5">
              <w:rPr>
                <w:rStyle w:val="Teksttreci20"/>
                <w:rFonts w:asciiTheme="minorHAnsi" w:eastAsiaTheme="minorHAnsi" w:hAnsiTheme="minorHAnsi" w:cstheme="minorHAnsi"/>
                <w:b/>
                <w:sz w:val="22"/>
                <w:szCs w:val="22"/>
                <w:u w:val="none"/>
              </w:rPr>
              <w:t>ze względu na swoje więzi osobiste i zawodowe, a w przypadku osoby niezwiązanej z tym miejscem zawodowo, ze względu na osobiste powiązania, które wskazują na istnienie ścisłych więzi między tą osobą a miejscem, w którym mieszka;</w:t>
            </w:r>
          </w:p>
          <w:p w14:paraId="1881EA72" w14:textId="429DE879" w:rsidR="0059404D" w:rsidRPr="00F030B5" w:rsidRDefault="0059404D" w:rsidP="0042202B">
            <w:pPr>
              <w:widowControl w:val="0"/>
              <w:numPr>
                <w:ilvl w:val="0"/>
                <w:numId w:val="8"/>
              </w:numPr>
              <w:tabs>
                <w:tab w:val="left" w:pos="1135"/>
              </w:tabs>
              <w:ind w:hanging="420"/>
              <w:rPr>
                <w:rFonts w:cstheme="minorHAnsi"/>
                <w:b/>
              </w:rPr>
            </w:pPr>
            <w:r w:rsidRPr="00F030B5">
              <w:rPr>
                <w:rFonts w:cstheme="minorHAnsi"/>
                <w:b/>
              </w:rPr>
              <w:t xml:space="preserve">3) w pkt 3 lit. c zastrzeżenia budzi przepis upoważniający określony w dodawanym art. 71 ust. 9, zgodnie z którym minister właściwy do spraw informatyzacji, w porozumieniu z ministrem właściwym do spraw transportu, ministrem </w:t>
            </w:r>
            <w:r w:rsidRPr="00F030B5">
              <w:rPr>
                <w:rFonts w:cstheme="minorHAnsi"/>
                <w:b/>
              </w:rPr>
              <w:lastRenderedPageBreak/>
              <w:t xml:space="preserve">właściwym do spraw wewnętrznych oraz ministrem właściwym do spraw finansów publicznych i instytucji finansowych określi, w drodze rozporządzenia, </w:t>
            </w:r>
            <w:r w:rsidRPr="00F030B5">
              <w:rPr>
                <w:rStyle w:val="Teksttreci20"/>
                <w:rFonts w:asciiTheme="minorHAnsi" w:eastAsiaTheme="minorHAnsi" w:hAnsiTheme="minorHAnsi" w:cstheme="minorHAnsi"/>
                <w:b/>
                <w:sz w:val="22"/>
                <w:szCs w:val="22"/>
                <w:u w:val="none"/>
              </w:rPr>
              <w:t>zakres i sposób gromadzenia przez Straż Graniczną danych i informacji, o których mowa w art. 71 ust. 5b</w:t>
            </w:r>
            <w:r w:rsidRPr="00F030B5">
              <w:rPr>
                <w:rFonts w:cstheme="minorHAnsi"/>
                <w:b/>
              </w:rPr>
              <w:t xml:space="preserve"> ze względu na jego blankietowy charakter; w dodawanym ust. 5b, do którego następuje odesłanie w ww. przepisie upoważniającym, nie zostało bowiem uregulowane gromadzenie ww. danych i informacji przez Straż Graniczną; w pozostałych przepisach zmienianej ustawy z dnia 20 czerwca 1997 r. – Prawo o ruchu drogowym oraz w projekcie ustawy brak jest przepisów merytorycznych dotyczących zakresu i sposobu gromadzenia przez Straż Graniczną danych i informacji, o których mowa w art. 71 ust. 5b; ponadto zauważa się, że w ww. przepisie upoważniającym nie zostały określone wytyczne, co budzi zastrzeżenia w kontekście zgodności projektowanej regulacji z art. 92 ust. 1 Konstytucji RP; ze względu na powyższe zastrzeżenia ww. przepis wymaga ponownej analizy i poprawy;</w:t>
            </w:r>
          </w:p>
          <w:p w14:paraId="4B0BD395" w14:textId="78146419" w:rsidR="0059404D" w:rsidRPr="00F030B5" w:rsidRDefault="0059404D" w:rsidP="0042202B">
            <w:pPr>
              <w:widowControl w:val="0"/>
              <w:numPr>
                <w:ilvl w:val="0"/>
                <w:numId w:val="8"/>
              </w:numPr>
              <w:tabs>
                <w:tab w:val="left" w:pos="1135"/>
              </w:tabs>
              <w:ind w:hanging="420"/>
              <w:rPr>
                <w:rFonts w:cstheme="minorHAnsi"/>
                <w:b/>
              </w:rPr>
            </w:pPr>
            <w:r w:rsidRPr="00F030B5">
              <w:rPr>
                <w:rFonts w:cstheme="minorHAnsi"/>
                <w:b/>
              </w:rPr>
              <w:t>4) w pkt 3 lit. c w dodawanych do ustawy w art. 71 ust. 8 i 9 przepisach upoważniających należy uwzględnić klasyfikację działów administracji rządowej, tj. fakt, że nie ma działu finanse publiczne i instytucje finansowe, ale są dwa odrębne działy;</w:t>
            </w:r>
          </w:p>
          <w:p w14:paraId="3ED5E57B" w14:textId="2E583BFC" w:rsidR="0059404D" w:rsidRPr="00920358" w:rsidRDefault="0059404D" w:rsidP="0042202B">
            <w:pPr>
              <w:widowControl w:val="0"/>
              <w:numPr>
                <w:ilvl w:val="0"/>
                <w:numId w:val="8"/>
              </w:numPr>
              <w:tabs>
                <w:tab w:val="left" w:pos="1148"/>
              </w:tabs>
              <w:ind w:hanging="400"/>
              <w:rPr>
                <w:rFonts w:cstheme="minorHAnsi"/>
              </w:rPr>
            </w:pPr>
            <w:r w:rsidRPr="00F030B5">
              <w:rPr>
                <w:rFonts w:cstheme="minorHAnsi"/>
                <w:b/>
              </w:rPr>
              <w:t>5) w pkt 4 niezrozumiała jest lit. b, która odnosi się do zmian w art. 72 ust. 1 pkt 2, w kontekście tego, że w lit. a jest nadawane całe nowe brzmienie ust. 1 w tym artykule, a pkt 2 w art. 72 ust. 1 został uchylony.</w:t>
            </w:r>
          </w:p>
        </w:tc>
        <w:tc>
          <w:tcPr>
            <w:tcW w:w="3827" w:type="dxa"/>
          </w:tcPr>
          <w:p w14:paraId="5CF07C97" w14:textId="360DCF5B" w:rsidR="0059404D" w:rsidRPr="00D11D53" w:rsidRDefault="0059404D" w:rsidP="0042202B">
            <w:pPr>
              <w:rPr>
                <w:rFonts w:cstheme="minorHAnsi"/>
                <w:b/>
              </w:rPr>
            </w:pPr>
            <w:r w:rsidRPr="00D11D53">
              <w:rPr>
                <w:rFonts w:cstheme="minorHAnsi"/>
                <w:b/>
              </w:rPr>
              <w:lastRenderedPageBreak/>
              <w:t xml:space="preserve">1) </w:t>
            </w:r>
            <w:r>
              <w:rPr>
                <w:rFonts w:cstheme="minorHAnsi"/>
                <w:b/>
              </w:rPr>
              <w:t>u</w:t>
            </w:r>
            <w:r w:rsidRPr="00D11D53">
              <w:rPr>
                <w:rFonts w:cstheme="minorHAnsi"/>
                <w:b/>
              </w:rPr>
              <w:t>waga uwzględniona poprzez zmianę brzmienia art. 66 ust. 4 pkt 5a PRD:</w:t>
            </w:r>
          </w:p>
          <w:p w14:paraId="1B6031DB" w14:textId="0C904FB4" w:rsidR="0059404D" w:rsidRDefault="0059404D" w:rsidP="0042202B">
            <w:pPr>
              <w:pStyle w:val="ZPKTzmpktartykuempunktem"/>
              <w:spacing w:line="240" w:lineRule="auto"/>
              <w:ind w:left="29" w:firstLine="0"/>
              <w:jc w:val="left"/>
              <w:rPr>
                <w:rFonts w:asciiTheme="minorHAnsi" w:eastAsiaTheme="minorHAnsi" w:hAnsiTheme="minorHAnsi" w:cstheme="minorHAnsi"/>
                <w:b/>
                <w:bCs w:val="0"/>
                <w:i/>
                <w:sz w:val="22"/>
                <w:szCs w:val="22"/>
                <w:lang w:eastAsia="en-US"/>
              </w:rPr>
            </w:pPr>
            <w:bookmarkStart w:id="25" w:name="_Hlk219359059"/>
            <w:bookmarkStart w:id="26" w:name="_Hlk223121717"/>
            <w:r w:rsidRPr="00D11D53">
              <w:rPr>
                <w:rFonts w:asciiTheme="minorHAnsi" w:eastAsiaTheme="minorHAnsi" w:hAnsiTheme="minorHAnsi" w:cstheme="minorHAnsi"/>
                <w:b/>
                <w:bCs w:val="0"/>
                <w:i/>
                <w:sz w:val="22"/>
                <w:szCs w:val="22"/>
                <w:lang w:eastAsia="en-US"/>
              </w:rPr>
              <w:t>„5a) przebudowy samochodów osobowych przeznaczonych do zawodów sportowych podlegających czasowej rejestracji na podstawie art. 74 ust. 2ca w celu spełnienia przez te pojazdy warunków określonych w art. 66 na potrzeby ich rejestracji na podstawie art. 73 ust. 1;”;</w:t>
            </w:r>
            <w:bookmarkEnd w:id="25"/>
          </w:p>
          <w:p w14:paraId="174E53CE" w14:textId="77777777" w:rsidR="0059404D" w:rsidRPr="00D11D53" w:rsidRDefault="0059404D" w:rsidP="0042202B">
            <w:pPr>
              <w:pStyle w:val="ZPKTzmpktartykuempunktem"/>
              <w:spacing w:line="240" w:lineRule="auto"/>
              <w:ind w:left="29" w:firstLine="0"/>
              <w:jc w:val="left"/>
              <w:rPr>
                <w:rFonts w:asciiTheme="minorHAnsi" w:eastAsiaTheme="minorHAnsi" w:hAnsiTheme="minorHAnsi" w:cstheme="minorHAnsi"/>
                <w:b/>
                <w:bCs w:val="0"/>
                <w:i/>
                <w:sz w:val="22"/>
                <w:szCs w:val="22"/>
                <w:lang w:eastAsia="en-US"/>
              </w:rPr>
            </w:pPr>
          </w:p>
          <w:bookmarkEnd w:id="26"/>
          <w:p w14:paraId="5A932368" w14:textId="460BD1D9" w:rsidR="0059404D" w:rsidRPr="00D11D53" w:rsidRDefault="0059404D" w:rsidP="0042202B">
            <w:pPr>
              <w:rPr>
                <w:rFonts w:cstheme="minorHAnsi"/>
                <w:b/>
              </w:rPr>
            </w:pPr>
            <w:r w:rsidRPr="00D11D53">
              <w:rPr>
                <w:rFonts w:cstheme="minorHAnsi"/>
                <w:b/>
              </w:rPr>
              <w:t>Uwagi 2</w:t>
            </w:r>
            <w:r>
              <w:rPr>
                <w:rFonts w:cstheme="minorHAnsi"/>
                <w:b/>
              </w:rPr>
              <w:t xml:space="preserve">) 3) </w:t>
            </w:r>
            <w:r w:rsidRPr="00D11D53">
              <w:rPr>
                <w:rFonts w:cstheme="minorHAnsi"/>
                <w:b/>
              </w:rPr>
              <w:t>4</w:t>
            </w:r>
            <w:r>
              <w:rPr>
                <w:rFonts w:cstheme="minorHAnsi"/>
                <w:b/>
              </w:rPr>
              <w:t>):</w:t>
            </w:r>
          </w:p>
          <w:p w14:paraId="3157E7C8" w14:textId="30FD18A2" w:rsidR="0059404D" w:rsidRPr="00D11D53" w:rsidRDefault="0059404D" w:rsidP="0042202B">
            <w:pPr>
              <w:rPr>
                <w:rFonts w:cstheme="minorHAnsi"/>
                <w:b/>
              </w:rPr>
            </w:pPr>
            <w:r w:rsidRPr="00D11D53">
              <w:rPr>
                <w:rFonts w:cstheme="minorHAnsi"/>
                <w:b/>
              </w:rPr>
              <w:lastRenderedPageBreak/>
              <w:t>W związku z uwagami MSWiA</w:t>
            </w:r>
            <w:r>
              <w:rPr>
                <w:rFonts w:cstheme="minorHAnsi"/>
                <w:b/>
              </w:rPr>
              <w:t xml:space="preserve"> </w:t>
            </w:r>
            <w:r w:rsidRPr="00D11D53">
              <w:rPr>
                <w:rFonts w:cstheme="minorHAnsi"/>
                <w:b/>
              </w:rPr>
              <w:t>zrezygnowano z</w:t>
            </w:r>
            <w:r w:rsidRPr="00D11D53">
              <w:rPr>
                <w:b/>
              </w:rPr>
              <w:t xml:space="preserve"> </w:t>
            </w:r>
            <w:r w:rsidRPr="00D11D53">
              <w:rPr>
                <w:rFonts w:cstheme="minorHAnsi"/>
                <w:b/>
              </w:rPr>
              <w:t>przepis</w:t>
            </w:r>
            <w:r>
              <w:rPr>
                <w:rFonts w:cstheme="minorHAnsi"/>
                <w:b/>
              </w:rPr>
              <w:t>ów</w:t>
            </w:r>
            <w:r w:rsidRPr="00D11D53">
              <w:rPr>
                <w:rFonts w:cstheme="minorHAnsi"/>
                <w:b/>
              </w:rPr>
              <w:t xml:space="preserve"> upoważniając</w:t>
            </w:r>
            <w:r>
              <w:rPr>
                <w:rFonts w:cstheme="minorHAnsi"/>
                <w:b/>
              </w:rPr>
              <w:t>ych</w:t>
            </w:r>
            <w:r w:rsidRPr="00D11D53">
              <w:rPr>
                <w:rFonts w:cstheme="minorHAnsi"/>
                <w:b/>
              </w:rPr>
              <w:t xml:space="preserve"> dodawan</w:t>
            </w:r>
            <w:r>
              <w:rPr>
                <w:rFonts w:cstheme="minorHAnsi"/>
                <w:b/>
              </w:rPr>
              <w:t>ych</w:t>
            </w:r>
            <w:r w:rsidRPr="00D11D53">
              <w:rPr>
                <w:rFonts w:cstheme="minorHAnsi"/>
                <w:b/>
              </w:rPr>
              <w:t xml:space="preserve"> do art. 71 w ust. 8</w:t>
            </w:r>
            <w:r>
              <w:rPr>
                <w:rFonts w:cstheme="minorHAnsi"/>
                <w:b/>
              </w:rPr>
              <w:t xml:space="preserve"> i 9</w:t>
            </w:r>
            <w:r w:rsidRPr="00D11D53">
              <w:rPr>
                <w:rFonts w:cstheme="minorHAnsi"/>
                <w:b/>
              </w:rPr>
              <w:t>. Zrezygnowano również z dodania ust. 1d do art. 73aa. Z kolei w przypadku ust. 1c dodawanego do art. 73aa zaproponowano następujące brzmienie</w:t>
            </w:r>
            <w:r>
              <w:rPr>
                <w:rFonts w:cstheme="minorHAnsi"/>
                <w:b/>
              </w:rPr>
              <w:t>:</w:t>
            </w:r>
          </w:p>
          <w:p w14:paraId="30D836E7" w14:textId="77777777" w:rsidR="0059404D" w:rsidRPr="004D78CD" w:rsidRDefault="0059404D" w:rsidP="0042202B">
            <w:pPr>
              <w:rPr>
                <w:rFonts w:cstheme="minorHAnsi"/>
                <w:b/>
                <w:i/>
              </w:rPr>
            </w:pPr>
            <w:r w:rsidRPr="004D78CD">
              <w:rPr>
                <w:rFonts w:cstheme="minorHAnsi"/>
                <w:b/>
                <w:i/>
              </w:rPr>
              <w:t>„1c. Jeżeli właściciel pojazdu, o którym mowa w art. 71 ust. 5b, przed upływem roku od dnia wjazdu na terytorium Rzeczypospolitej Polskiej, złoży:</w:t>
            </w:r>
          </w:p>
          <w:p w14:paraId="71BF0B44" w14:textId="77777777" w:rsidR="0059404D" w:rsidRPr="004D78CD" w:rsidRDefault="0059404D" w:rsidP="0042202B">
            <w:pPr>
              <w:ind w:left="318"/>
              <w:rPr>
                <w:rFonts w:cstheme="minorHAnsi"/>
                <w:b/>
                <w:i/>
              </w:rPr>
            </w:pPr>
            <w:r w:rsidRPr="004D78CD">
              <w:rPr>
                <w:rFonts w:cstheme="minorHAnsi"/>
                <w:b/>
                <w:i/>
              </w:rPr>
              <w:t>1) wniosek o udzielenie cudzoziemcowi zezwolenia na pobyt czasowy albo</w:t>
            </w:r>
          </w:p>
          <w:p w14:paraId="49201741" w14:textId="77777777" w:rsidR="0059404D" w:rsidRPr="004D78CD" w:rsidRDefault="0059404D" w:rsidP="0042202B">
            <w:pPr>
              <w:ind w:left="318"/>
              <w:rPr>
                <w:rFonts w:cstheme="minorHAnsi"/>
                <w:b/>
                <w:i/>
              </w:rPr>
            </w:pPr>
            <w:r w:rsidRPr="004D78CD">
              <w:rPr>
                <w:rFonts w:cstheme="minorHAnsi"/>
                <w:b/>
                <w:i/>
              </w:rPr>
              <w:t>2) wniosek o udzielenie cudzoziemcowi zezwolenia na pobyt stały albo</w:t>
            </w:r>
          </w:p>
          <w:p w14:paraId="6F28F3A6" w14:textId="7552A302" w:rsidR="0059404D" w:rsidRPr="004D78CD" w:rsidRDefault="0059404D" w:rsidP="0042202B">
            <w:pPr>
              <w:ind w:left="318"/>
              <w:rPr>
                <w:rFonts w:cstheme="minorHAnsi"/>
                <w:b/>
                <w:i/>
              </w:rPr>
            </w:pPr>
            <w:r w:rsidRPr="004D78CD">
              <w:rPr>
                <w:rFonts w:cstheme="minorHAnsi"/>
                <w:b/>
                <w:i/>
              </w:rPr>
              <w:t>3) wniosek o zezwolenie na pobyt rezydenta długoterminowego Unii Europejskiej</w:t>
            </w:r>
          </w:p>
          <w:p w14:paraId="1E6F743B" w14:textId="730BD660" w:rsidR="0059404D" w:rsidRPr="004D78CD" w:rsidRDefault="0059404D" w:rsidP="0042202B">
            <w:pPr>
              <w:rPr>
                <w:rFonts w:cstheme="minorHAnsi"/>
                <w:b/>
                <w:i/>
              </w:rPr>
            </w:pPr>
            <w:r w:rsidRPr="004D78CD">
              <w:rPr>
                <w:rFonts w:cstheme="minorHAnsi"/>
                <w:b/>
                <w:i/>
              </w:rPr>
              <w:t>jest zobowiązany złożyć wniosek o rejestrację pojazdu w terminie 30 dni od dnia złożenia wniosku, o którym mowa w pkt 1-3.”.</w:t>
            </w:r>
          </w:p>
          <w:p w14:paraId="75371AD4" w14:textId="77777777" w:rsidR="0059404D" w:rsidRPr="00D11D53" w:rsidRDefault="0059404D" w:rsidP="0042202B">
            <w:pPr>
              <w:rPr>
                <w:rFonts w:cstheme="minorHAnsi"/>
                <w:b/>
              </w:rPr>
            </w:pPr>
          </w:p>
          <w:p w14:paraId="72CDD32A" w14:textId="235EA40B" w:rsidR="0059404D" w:rsidRPr="00D11D53" w:rsidRDefault="0059404D" w:rsidP="0042202B">
            <w:pPr>
              <w:rPr>
                <w:rFonts w:cstheme="minorHAnsi"/>
                <w:b/>
              </w:rPr>
            </w:pPr>
            <w:r w:rsidRPr="00D11D53">
              <w:rPr>
                <w:rFonts w:cstheme="minorHAnsi"/>
                <w:b/>
              </w:rPr>
              <w:t>Uwaga 5</w:t>
            </w:r>
            <w:r>
              <w:rPr>
                <w:rFonts w:cstheme="minorHAnsi"/>
                <w:b/>
              </w:rPr>
              <w:t xml:space="preserve">) litera b w pkt 5 zmiany PRD w zakresie art. 72 ust. 1 została wykreślona. </w:t>
            </w:r>
          </w:p>
          <w:p w14:paraId="339A8D96" w14:textId="03DC813A" w:rsidR="0059404D" w:rsidRPr="00D11D53" w:rsidRDefault="0059404D" w:rsidP="0042202B">
            <w:pPr>
              <w:rPr>
                <w:rFonts w:cstheme="minorHAnsi"/>
                <w:b/>
              </w:rPr>
            </w:pPr>
          </w:p>
        </w:tc>
        <w:tc>
          <w:tcPr>
            <w:tcW w:w="3686" w:type="dxa"/>
          </w:tcPr>
          <w:p w14:paraId="3120D5D3"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422AC8FB"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39B6AD16" w14:textId="77777777" w:rsidR="007B6387" w:rsidRDefault="007B6387" w:rsidP="0042202B">
            <w:pPr>
              <w:rPr>
                <w:rFonts w:cstheme="minorHAnsi"/>
                <w:b/>
              </w:rPr>
            </w:pPr>
          </w:p>
          <w:p w14:paraId="301B0414"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32386F6" w14:textId="7E6D1474" w:rsidR="007B6387" w:rsidRPr="00D11D53" w:rsidRDefault="007B6387" w:rsidP="0042202B">
            <w:pPr>
              <w:rPr>
                <w:rFonts w:cstheme="minorHAnsi"/>
                <w:b/>
              </w:rPr>
            </w:pPr>
          </w:p>
        </w:tc>
      </w:tr>
      <w:tr w:rsidR="0059404D" w:rsidRPr="00F515D6" w14:paraId="38AF14D0" w14:textId="64FD71F1" w:rsidTr="00D76FE7">
        <w:tc>
          <w:tcPr>
            <w:tcW w:w="562" w:type="dxa"/>
          </w:tcPr>
          <w:p w14:paraId="3979D6CF" w14:textId="7CC5160E" w:rsidR="0059404D" w:rsidRPr="006A140B" w:rsidRDefault="0059404D" w:rsidP="0042202B">
            <w:pPr>
              <w:rPr>
                <w:rFonts w:cstheme="minorHAnsi"/>
                <w:b/>
              </w:rPr>
            </w:pPr>
            <w:r w:rsidRPr="006A140B">
              <w:rPr>
                <w:rFonts w:cstheme="minorHAnsi"/>
                <w:b/>
              </w:rPr>
              <w:lastRenderedPageBreak/>
              <w:t>23</w:t>
            </w:r>
          </w:p>
        </w:tc>
        <w:tc>
          <w:tcPr>
            <w:tcW w:w="993" w:type="dxa"/>
          </w:tcPr>
          <w:p w14:paraId="6277E3E6" w14:textId="77777777" w:rsidR="0059404D" w:rsidRDefault="0059404D" w:rsidP="0042202B">
            <w:pPr>
              <w:rPr>
                <w:rFonts w:cstheme="minorHAnsi"/>
                <w:b/>
              </w:rPr>
            </w:pPr>
            <w:r w:rsidRPr="006A140B">
              <w:rPr>
                <w:rFonts w:cstheme="minorHAnsi"/>
                <w:b/>
              </w:rPr>
              <w:t>RCL</w:t>
            </w:r>
          </w:p>
          <w:p w14:paraId="3343C2C2" w14:textId="77777777" w:rsidR="0059404D" w:rsidRDefault="0059404D" w:rsidP="0042202B">
            <w:pPr>
              <w:rPr>
                <w:rFonts w:cstheme="minorHAnsi"/>
                <w:b/>
              </w:rPr>
            </w:pPr>
          </w:p>
          <w:p w14:paraId="1232A49C" w14:textId="52345EA9" w:rsidR="0059404D" w:rsidRPr="00180461" w:rsidRDefault="0059404D" w:rsidP="0042202B">
            <w:pPr>
              <w:rPr>
                <w:rFonts w:cstheme="minorHAnsi"/>
                <w:b/>
                <w:color w:val="00B050"/>
              </w:rPr>
            </w:pPr>
            <w:r w:rsidRPr="0074010D">
              <w:rPr>
                <w:rFonts w:cstheme="minorHAnsi"/>
                <w:b/>
                <w:color w:val="00B050"/>
              </w:rPr>
              <w:t>+ uwaga 123  MSZ (opinia ds.UE)</w:t>
            </w:r>
          </w:p>
        </w:tc>
        <w:tc>
          <w:tcPr>
            <w:tcW w:w="1701" w:type="dxa"/>
          </w:tcPr>
          <w:p w14:paraId="3BE1AD3E" w14:textId="479E727A" w:rsidR="0059404D" w:rsidRPr="006A140B" w:rsidRDefault="0059404D" w:rsidP="0042202B">
            <w:pPr>
              <w:rPr>
                <w:rFonts w:cstheme="minorHAnsi"/>
                <w:b/>
              </w:rPr>
            </w:pPr>
            <w:r w:rsidRPr="006A140B">
              <w:rPr>
                <w:rFonts w:cstheme="minorHAnsi"/>
                <w:b/>
              </w:rPr>
              <w:t>Art. 10 UZ</w:t>
            </w:r>
          </w:p>
        </w:tc>
        <w:tc>
          <w:tcPr>
            <w:tcW w:w="5953" w:type="dxa"/>
          </w:tcPr>
          <w:p w14:paraId="5BC002AE" w14:textId="57AA0862" w:rsidR="0059404D" w:rsidRPr="006A140B" w:rsidRDefault="0059404D" w:rsidP="0042202B">
            <w:pPr>
              <w:widowControl w:val="0"/>
              <w:numPr>
                <w:ilvl w:val="0"/>
                <w:numId w:val="5"/>
              </w:numPr>
              <w:tabs>
                <w:tab w:val="left" w:pos="794"/>
              </w:tabs>
              <w:ind w:hanging="567"/>
              <w:rPr>
                <w:rFonts w:cstheme="minorHAnsi"/>
                <w:b/>
              </w:rPr>
            </w:pPr>
            <w:r w:rsidRPr="006A140B">
              <w:rPr>
                <w:rFonts w:cstheme="minorHAnsi"/>
                <w:b/>
              </w:rPr>
              <w:t xml:space="preserve">Zgodnie z dodanym w rozdziale 4a ustawy przepisem art. 68a ust. 5 (art. 1 pkt 10 projektu) krajowemu indywidualnemu dopuszczeniu nowego pojazdu podlega także ciągnik rolniczy. W przepisie przejściowym zawartym w art. 10 ust. 1 projektu przewidziano możliwość dalszej eksploatacji na terytorium RP ciągników rolniczych sprowadzonych do Polski spoza Unii Europejskiej i zarejestrowanych bez wymaganych dokumentów homologacyjnych. Wnioskodawca zaproponował, że uprzednie zarejestrowanie tych ciągników na terytorium RP jest - z mocy samego prawa - uznane za równoważne w skutkach prawnych z rejestracją pojazdu na podstawie świadectwa krajowego indywidualnego dopuszczenia nowego pojazdu, pod warunkiem uzyskania adnotacji w tym zakresie w dowodzie rejestracyjnym w terminie 6 miesięcy od dnia wejścia w życie projektowanej ustawy. Zastrzeżenia RCL budzi regulacja zawarta w ust. 2 art. 10 projektu umożliwiająca wznowienie na podstawie ust. 1 tego artykułu postępowania zakończonego przed dniem wejścia w życie projektowanej ustawy wydaniem decyzji ostatecznej w sprawie stwierdzenia nieważności decyzji o rejestracji ciągnika rolniczego. W świetle przepisów Kodeksu postępowania administracyjnego wzruszenie ostatecznych decyzji administracyjnych odbywa się jedynie w nadzwyczajnych trybach administracyjnych, a ich zastosowanie możliwe jest jedynie w szczególnych przypadkach uwarunkowanych konkretnymi przesłankami prawnymi. W kontekście tego, że proponowany art. 10 ust. 2 projektu jest bardzo ogólny, w tym dotyczy wszystkich decyzji ostatecznych w sprawie stwierdzenia nieważności decyzji o </w:t>
            </w:r>
            <w:r w:rsidRPr="006A140B">
              <w:rPr>
                <w:rFonts w:cstheme="minorHAnsi"/>
                <w:b/>
              </w:rPr>
              <w:lastRenderedPageBreak/>
              <w:t>rejestracji ciągnika rolniczego, wątpliwości budzi, czy proponowany przepis spełnia ww. wymagania kodeksowe w zakresie wzruszenia ostatecznych decyzji administracyjnych.</w:t>
            </w:r>
          </w:p>
        </w:tc>
        <w:tc>
          <w:tcPr>
            <w:tcW w:w="3827" w:type="dxa"/>
          </w:tcPr>
          <w:p w14:paraId="103EA766" w14:textId="77777777" w:rsidR="0059404D" w:rsidRPr="006A140B" w:rsidRDefault="0059404D" w:rsidP="0042202B">
            <w:pPr>
              <w:rPr>
                <w:rFonts w:cstheme="minorHAnsi"/>
                <w:b/>
              </w:rPr>
            </w:pPr>
            <w:r w:rsidRPr="006A140B">
              <w:rPr>
                <w:rFonts w:cstheme="minorHAnsi"/>
                <w:b/>
              </w:rPr>
              <w:lastRenderedPageBreak/>
              <w:t xml:space="preserve">Uwaga wyjaśniona – brzmienie przepisu zostało zmienione w toku analizy uwag  - </w:t>
            </w:r>
          </w:p>
          <w:p w14:paraId="02DF0D4A" w14:textId="7C50A6A1" w:rsidR="0059404D" w:rsidRPr="006A140B" w:rsidRDefault="0059404D" w:rsidP="0042202B">
            <w:pPr>
              <w:rPr>
                <w:rFonts w:cstheme="minorHAnsi"/>
                <w:b/>
              </w:rPr>
            </w:pPr>
            <w:r w:rsidRPr="006A140B">
              <w:rPr>
                <w:rFonts w:cstheme="minorHAnsi"/>
                <w:b/>
              </w:rPr>
              <w:t xml:space="preserve">w zakresie zaproponowanego w projekcie przepisu krajowego umożliwiającego dalszą eksploatację na terytorium RP ciągników rolniczych sprowadzonych do Polski spoza UE i zarejestrowanych bez wymaganych dokumentów homologacyjnych </w:t>
            </w:r>
            <w:r>
              <w:rPr>
                <w:rFonts w:cstheme="minorHAnsi"/>
                <w:b/>
              </w:rPr>
              <w:t>–</w:t>
            </w:r>
            <w:r w:rsidRPr="006A140B">
              <w:rPr>
                <w:rFonts w:cstheme="minorHAnsi"/>
                <w:b/>
              </w:rPr>
              <w:t xml:space="preserve"> </w:t>
            </w:r>
            <w:r>
              <w:rPr>
                <w:rFonts w:cstheme="minorHAnsi"/>
                <w:b/>
              </w:rPr>
              <w:t xml:space="preserve">na takie, </w:t>
            </w:r>
            <w:r w:rsidRPr="006A140B">
              <w:rPr>
                <w:rFonts w:cstheme="minorHAnsi"/>
                <w:b/>
              </w:rPr>
              <w:t>które będzie uznane za niesprzeczne z wiążącymi Polskę przepisami unijnymi</w:t>
            </w:r>
            <w:r>
              <w:rPr>
                <w:rFonts w:cstheme="minorHAnsi"/>
                <w:b/>
              </w:rPr>
              <w:t xml:space="preserve">, i </w:t>
            </w:r>
            <w:r w:rsidRPr="006A140B">
              <w:rPr>
                <w:rFonts w:cstheme="minorHAnsi"/>
                <w:b/>
              </w:rPr>
              <w:t>jednocześnie pozwoli na jednoznaczne uregulowanie sytuacji prawnej ww. pojazdów i w jak największym stopniu uwzględni oczekiwania rolników w zakresie możliwości dalszego używania tych pojazdów bez dodatkowych obciążeń i kosztów</w:t>
            </w:r>
            <w:r>
              <w:rPr>
                <w:rFonts w:cstheme="minorHAnsi"/>
                <w:b/>
              </w:rPr>
              <w:t>, i tak</w:t>
            </w:r>
            <w:r w:rsidRPr="006A140B">
              <w:rPr>
                <w:rFonts w:cstheme="minorHAnsi"/>
                <w:b/>
              </w:rPr>
              <w:t>:</w:t>
            </w:r>
          </w:p>
          <w:p w14:paraId="60461ED0" w14:textId="59EA81B0" w:rsidR="0059404D" w:rsidRPr="006A140B" w:rsidRDefault="0059404D" w:rsidP="0042202B">
            <w:pPr>
              <w:rPr>
                <w:rFonts w:ascii="Calibri" w:eastAsia="Times New Roman" w:hAnsi="Calibri" w:cs="Calibri"/>
                <w:b/>
              </w:rPr>
            </w:pPr>
            <w:r w:rsidRPr="006A140B">
              <w:rPr>
                <w:rFonts w:ascii="Calibri" w:eastAsia="Times New Roman" w:hAnsi="Calibri" w:cs="Calibri"/>
                <w:b/>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w:t>
            </w:r>
            <w:r w:rsidRPr="006A140B">
              <w:rPr>
                <w:rFonts w:ascii="Calibri" w:eastAsia="Times New Roman" w:hAnsi="Calibri" w:cs="Calibri"/>
                <w:b/>
              </w:rPr>
              <w:lastRenderedPageBreak/>
              <w:t xml:space="preserve">ich dalszą eksploatację, </w:t>
            </w:r>
            <w:r w:rsidRPr="006A140B">
              <w:rPr>
                <w:rFonts w:ascii="Calibri" w:eastAsia="Times New Roman" w:hAnsi="Calibri" w:cs="Calibri"/>
                <w:b/>
                <w:u w:val="single"/>
              </w:rPr>
              <w:t>ale jedynie na terytorium RP</w:t>
            </w:r>
            <w:r w:rsidRPr="006A140B">
              <w:rPr>
                <w:rFonts w:ascii="Calibri" w:eastAsia="Times New Roman" w:hAnsi="Calibri" w:cs="Calibri"/>
                <w:b/>
              </w:rPr>
              <w:t xml:space="preserve">. </w:t>
            </w:r>
          </w:p>
          <w:p w14:paraId="7D190D7E" w14:textId="6ECBD691" w:rsidR="0059404D" w:rsidRPr="006A140B" w:rsidRDefault="0059404D" w:rsidP="0042202B">
            <w:pPr>
              <w:rPr>
                <w:rFonts w:ascii="Calibri" w:hAnsi="Calibri" w:cs="Calibri"/>
                <w:b/>
              </w:rPr>
            </w:pPr>
            <w:r>
              <w:rPr>
                <w:rFonts w:ascii="Calibri" w:hAnsi="Calibri" w:cs="Calibri"/>
                <w:b/>
              </w:rPr>
              <w:t>W</w:t>
            </w:r>
            <w:r w:rsidRPr="00F77B98">
              <w:rPr>
                <w:rFonts w:ascii="Calibri" w:hAnsi="Calibri" w:cs="Calibri"/>
                <w:b/>
              </w:rPr>
              <w:t>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bookmarkStart w:id="27" w:name="_Hlk221265928"/>
            <w:r w:rsidRPr="006A140B">
              <w:rPr>
                <w:rFonts w:ascii="Calibri" w:hAnsi="Calibri" w:cs="Calibri"/>
                <w:b/>
              </w:rPr>
              <w:t>;</w:t>
            </w:r>
          </w:p>
          <w:bookmarkEnd w:id="27"/>
          <w:p w14:paraId="45279C40" w14:textId="147E211F" w:rsidR="0059404D" w:rsidRPr="006A140B" w:rsidRDefault="0059404D" w:rsidP="0042202B">
            <w:pPr>
              <w:rPr>
                <w:rFonts w:ascii="Calibri" w:eastAsia="Times New Roman" w:hAnsi="Calibri" w:cs="Calibri"/>
                <w:b/>
              </w:rPr>
            </w:pPr>
            <w:r w:rsidRPr="006A140B">
              <w:rPr>
                <w:rFonts w:ascii="Calibri" w:eastAsia="Times New Roman" w:hAnsi="Calibri" w:cs="Calibri"/>
                <w:b/>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1BA2184C" w14:textId="57136F08" w:rsidR="0059404D" w:rsidRPr="006A140B" w:rsidRDefault="0059404D" w:rsidP="0042202B">
            <w:pPr>
              <w:rPr>
                <w:rFonts w:ascii="Calibri" w:eastAsia="Times New Roman" w:hAnsi="Calibri" w:cs="Calibri"/>
                <w:b/>
              </w:rPr>
            </w:pPr>
            <w:r w:rsidRPr="006A140B">
              <w:rPr>
                <w:rFonts w:ascii="Calibri" w:eastAsia="Times New Roman" w:hAnsi="Calibri" w:cs="Calibri"/>
                <w:b/>
              </w:rPr>
              <w:t xml:space="preserve">- ciągniki te, tak jak obecnie, nadal będą podlegać w trakcie eksploatacji sprawdzeniu technicznemu w drodze okresowych badań technicznych; co więcej należy zauważyć, iż ciągniki rolnicze na terytorium RP są używane </w:t>
            </w:r>
            <w:r w:rsidRPr="006A140B">
              <w:rPr>
                <w:rFonts w:ascii="Calibri" w:eastAsia="Times New Roman" w:hAnsi="Calibri" w:cs="Calibri"/>
                <w:b/>
              </w:rPr>
              <w:lastRenderedPageBreak/>
              <w:t xml:space="preserve">zazwyczaj na ograniczonym obszarze i podlegają restrykcjom dotyczącym dozwolonej prędkości i oznakowania, </w:t>
            </w:r>
          </w:p>
          <w:p w14:paraId="6BC41E7D" w14:textId="77777777" w:rsidR="0059404D" w:rsidRDefault="0059404D" w:rsidP="0042202B">
            <w:pPr>
              <w:rPr>
                <w:rFonts w:ascii="Calibri" w:eastAsia="Times New Roman" w:hAnsi="Calibri" w:cs="Calibri"/>
                <w:b/>
              </w:rPr>
            </w:pPr>
            <w:r w:rsidRPr="006A140B">
              <w:rPr>
                <w:rFonts w:ascii="Calibri" w:eastAsia="Times New Roman" w:hAnsi="Calibri" w:cs="Calibri"/>
                <w:b/>
              </w:rPr>
              <w:t xml:space="preserve">- </w:t>
            </w:r>
            <w:r w:rsidRPr="006A140B">
              <w:rPr>
                <w:rFonts w:ascii="Calibri" w:eastAsia="Times New Roman" w:hAnsi="Calibri" w:cs="Calibri"/>
                <w:b/>
                <w:u w:val="single"/>
              </w:rPr>
              <w:t>w przypadku postępowań zakończonych przed dniem wejścia w życie projektowanej ustawy, wydaniem decyzji ostatecznej w sprawie stwierdzenia nieważności decyzji o rejestracji ciągnika rolniczego</w:t>
            </w:r>
            <w:r w:rsidRPr="006A140B">
              <w:rPr>
                <w:rFonts w:ascii="Calibri" w:eastAsia="Times New Roman" w:hAnsi="Calibri" w:cs="Calibri"/>
                <w:b/>
              </w:rPr>
              <w:t xml:space="preserve">, w projekcie przewidziano również, na wniosek właściciela pojazdu, </w:t>
            </w:r>
            <w:r w:rsidRPr="006A140B">
              <w:rPr>
                <w:rFonts w:ascii="Calibri" w:eastAsia="Times New Roman" w:hAnsi="Calibri" w:cs="Calibri"/>
                <w:b/>
                <w:u w:val="single"/>
              </w:rPr>
              <w:t xml:space="preserve">możliwość </w:t>
            </w:r>
            <w:r w:rsidRPr="006A140B">
              <w:rPr>
                <w:rFonts w:ascii="Calibri" w:eastAsia="Times New Roman" w:hAnsi="Calibri" w:cs="Calibri"/>
                <w:b/>
              </w:rPr>
              <w:t>ponownej rejestracji tego pojazdu na podstawie jego danych z centralnej ewidencji pojazdów</w:t>
            </w:r>
            <w:r w:rsidRPr="006A140B">
              <w:rPr>
                <w:rFonts w:ascii="Calibri" w:eastAsia="Times New Roman" w:hAnsi="Calibri" w:cs="Calibri"/>
                <w:b/>
                <w:u w:val="single"/>
              </w:rPr>
              <w:t xml:space="preserve"> </w:t>
            </w:r>
            <w:r w:rsidRPr="006A140B">
              <w:rPr>
                <w:rFonts w:ascii="Calibri" w:eastAsia="Times New Roman" w:hAnsi="Calibri" w:cs="Calibri"/>
                <w:b/>
              </w:rPr>
              <w:t xml:space="preserve">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1D10002F" w14:textId="77777777" w:rsidR="0059404D" w:rsidRDefault="0059404D" w:rsidP="0042202B">
            <w:pPr>
              <w:rPr>
                <w:rFonts w:ascii="Calibri" w:eastAsia="Times New Roman" w:hAnsi="Calibri" w:cs="Calibri"/>
                <w:b/>
              </w:rPr>
            </w:pPr>
            <w:r>
              <w:rPr>
                <w:rFonts w:ascii="Calibri" w:eastAsia="Times New Roman" w:hAnsi="Calibri" w:cs="Calibri"/>
                <w:b/>
              </w:rPr>
              <w:t>Brzmienie projektowanego przepisu art. 10:</w:t>
            </w:r>
          </w:p>
          <w:p w14:paraId="2671C316" w14:textId="676FD529" w:rsidR="0059404D" w:rsidRPr="001B4A27" w:rsidRDefault="0059404D" w:rsidP="0042202B">
            <w:pPr>
              <w:rPr>
                <w:rFonts w:ascii="Calibri" w:eastAsia="Times New Roman" w:hAnsi="Calibri" w:cs="Calibri"/>
                <w:b/>
                <w:i/>
              </w:rPr>
            </w:pPr>
            <w:r w:rsidRPr="001B4A27">
              <w:rPr>
                <w:rFonts w:ascii="Calibri" w:eastAsia="Times New Roman" w:hAnsi="Calibri" w:cs="Calibri"/>
                <w:b/>
                <w:i/>
              </w:rPr>
              <w:t>„</w:t>
            </w:r>
            <w:r w:rsidRPr="001B4A27">
              <w:rPr>
                <w:i/>
              </w:rPr>
              <w:t xml:space="preserve"> </w:t>
            </w:r>
            <w:r w:rsidRPr="001B4A27">
              <w:rPr>
                <w:rFonts w:ascii="Calibri" w:eastAsia="Times New Roman" w:hAnsi="Calibri" w:cs="Calibri"/>
                <w:b/>
                <w:i/>
              </w:rPr>
              <w:t xml:space="preserve">Art. 10. 1. Dopuszczenie do ruchu drogowego ciągnika rolniczego sprowadzonego na terytorium Rzeczypospolitej Polskiej z państwa pochodzenia niebędącym państwem </w:t>
            </w:r>
            <w:r w:rsidRPr="001B4A27">
              <w:rPr>
                <w:rFonts w:ascii="Calibri" w:eastAsia="Times New Roman" w:hAnsi="Calibri" w:cs="Calibri"/>
                <w:b/>
                <w:i/>
              </w:rPr>
              <w:lastRenderedPageBreak/>
              <w:t xml:space="preserve">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w:t>
            </w:r>
            <w:r w:rsidRPr="001B4A27">
              <w:rPr>
                <w:rFonts w:ascii="Calibri" w:eastAsia="Times New Roman" w:hAnsi="Calibri" w:cs="Calibri"/>
                <w:b/>
                <w:i/>
              </w:rPr>
              <w:lastRenderedPageBreak/>
              <w:t>informację do centralnej ewidencji pojazdów.</w:t>
            </w:r>
          </w:p>
          <w:p w14:paraId="7555F782" w14:textId="20846026" w:rsidR="0059404D" w:rsidRPr="001B4A27" w:rsidRDefault="0059404D" w:rsidP="0042202B">
            <w:pPr>
              <w:rPr>
                <w:rFonts w:ascii="Calibri" w:eastAsia="Times New Roman" w:hAnsi="Calibri" w:cs="Calibri"/>
                <w:b/>
                <w:i/>
              </w:rPr>
            </w:pPr>
            <w:r w:rsidRPr="001B4A27">
              <w:rPr>
                <w:rFonts w:ascii="Calibri" w:eastAsia="Times New Roman" w:hAnsi="Calibri" w:cs="Calibri"/>
                <w:b/>
                <w:i/>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7E05323B" w14:textId="77777777" w:rsidR="0059404D" w:rsidRPr="001B4A27" w:rsidRDefault="0059404D" w:rsidP="0042202B">
            <w:pPr>
              <w:rPr>
                <w:rFonts w:ascii="Calibri" w:eastAsia="Times New Roman" w:hAnsi="Calibri" w:cs="Calibri"/>
                <w:b/>
                <w:i/>
              </w:rPr>
            </w:pPr>
            <w:r w:rsidRPr="001B4A27">
              <w:rPr>
                <w:rFonts w:ascii="Calibri" w:eastAsia="Times New Roman" w:hAnsi="Calibri" w:cs="Calibri"/>
                <w:b/>
                <w:i/>
              </w:rPr>
              <w:t>1) ostateczną i prawomocną decyzję o stwierdzeniu nieważności decyzji o rejestracji tego pojazdu;</w:t>
            </w:r>
          </w:p>
          <w:p w14:paraId="2864F2F4" w14:textId="77777777" w:rsidR="0059404D" w:rsidRPr="001B4A27" w:rsidRDefault="0059404D" w:rsidP="0042202B">
            <w:pPr>
              <w:rPr>
                <w:rFonts w:ascii="Calibri" w:eastAsia="Times New Roman" w:hAnsi="Calibri" w:cs="Calibri"/>
                <w:b/>
                <w:i/>
              </w:rPr>
            </w:pPr>
            <w:r w:rsidRPr="001B4A27">
              <w:rPr>
                <w:rFonts w:ascii="Calibri" w:eastAsia="Times New Roman" w:hAnsi="Calibri" w:cs="Calibri"/>
                <w:b/>
                <w:i/>
              </w:rPr>
              <w:t>2) zaświadczenie o pozytywnym wyniku badania technicznego pojazdu, jeżeli informacja o aktualnym pozytywnym wyniku badania technicznego pojazdu nie jest zamieszczona w centralnej ewidencji pojazdów.</w:t>
            </w:r>
          </w:p>
          <w:p w14:paraId="43C9354F" w14:textId="77777777" w:rsidR="0059404D" w:rsidRPr="001B4A27" w:rsidRDefault="0059404D" w:rsidP="0042202B">
            <w:pPr>
              <w:rPr>
                <w:rFonts w:ascii="Calibri" w:eastAsia="Times New Roman" w:hAnsi="Calibri" w:cs="Calibri"/>
                <w:b/>
                <w:i/>
              </w:rPr>
            </w:pPr>
            <w:r w:rsidRPr="001B4A27">
              <w:rPr>
                <w:rFonts w:ascii="Calibri" w:eastAsia="Times New Roman" w:hAnsi="Calibri" w:cs="Calibri"/>
                <w:b/>
                <w:i/>
              </w:rPr>
              <w:t xml:space="preserve">Przepis ust. 1 stosuje się odpowiednio. </w:t>
            </w:r>
          </w:p>
          <w:p w14:paraId="190EFA28" w14:textId="77777777" w:rsidR="0059404D" w:rsidRPr="001B4A27" w:rsidRDefault="0059404D" w:rsidP="0042202B">
            <w:pPr>
              <w:rPr>
                <w:rFonts w:ascii="Calibri" w:eastAsia="Times New Roman" w:hAnsi="Calibri" w:cs="Calibri"/>
                <w:b/>
                <w:i/>
              </w:rPr>
            </w:pPr>
            <w:r w:rsidRPr="001B4A27">
              <w:rPr>
                <w:rFonts w:ascii="Calibri" w:eastAsia="Times New Roman" w:hAnsi="Calibri" w:cs="Calibri"/>
                <w:b/>
                <w:i/>
              </w:rPr>
              <w:t xml:space="preserve">3. W przypadku zmiany właściciela ciągnika rolniczego, do którego zastosowanie mają </w:t>
            </w:r>
          </w:p>
          <w:p w14:paraId="6E9F9DEE" w14:textId="6958DF78" w:rsidR="0059404D" w:rsidRPr="001B4A27" w:rsidRDefault="0059404D" w:rsidP="0042202B">
            <w:pPr>
              <w:rPr>
                <w:rFonts w:ascii="Calibri" w:eastAsia="Times New Roman" w:hAnsi="Calibri" w:cs="Calibri"/>
                <w:b/>
                <w:i/>
              </w:rPr>
            </w:pPr>
            <w:r w:rsidRPr="001B4A27">
              <w:rPr>
                <w:rFonts w:ascii="Calibri" w:eastAsia="Times New Roman" w:hAnsi="Calibri" w:cs="Calibri"/>
                <w:b/>
                <w:i/>
              </w:rPr>
              <w:lastRenderedPageBreak/>
              <w:t>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7C7AA5A6" w14:textId="77777777" w:rsidR="0059404D" w:rsidRPr="001B4A27" w:rsidRDefault="0059404D" w:rsidP="0042202B">
            <w:pPr>
              <w:rPr>
                <w:rFonts w:ascii="Calibri" w:eastAsia="Times New Roman" w:hAnsi="Calibri" w:cs="Calibri"/>
                <w:b/>
                <w:i/>
              </w:rPr>
            </w:pPr>
            <w:r w:rsidRPr="001B4A27">
              <w:rPr>
                <w:rFonts w:ascii="Calibri" w:eastAsia="Times New Roman" w:hAnsi="Calibri" w:cs="Calibri"/>
                <w:b/>
                <w:i/>
              </w:rPr>
              <w:t>1) dziedziczenia w ramach kręgu osób bliskich w rozumieniu art. 2 pkt 6 ustawy z dnia 11 kwietnia 2003 r. o kształtowaniu ustroju rolnego (Dz. U. z 2025 r. poz. 1653);</w:t>
            </w:r>
          </w:p>
          <w:p w14:paraId="0831CA9E" w14:textId="77777777" w:rsidR="0059404D" w:rsidRPr="001B4A27" w:rsidRDefault="0059404D" w:rsidP="0042202B">
            <w:pPr>
              <w:rPr>
                <w:rFonts w:ascii="Calibri" w:eastAsia="Times New Roman" w:hAnsi="Calibri" w:cs="Calibri"/>
                <w:b/>
                <w:i/>
              </w:rPr>
            </w:pPr>
            <w:r w:rsidRPr="001B4A27">
              <w:rPr>
                <w:rFonts w:ascii="Calibri" w:eastAsia="Times New Roman" w:hAnsi="Calibri" w:cs="Calibri"/>
                <w:b/>
                <w:i/>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7936C5DE" w14:textId="11695731" w:rsidR="0059404D" w:rsidRPr="001B4A27" w:rsidRDefault="0059404D" w:rsidP="0042202B">
            <w:pPr>
              <w:rPr>
                <w:rFonts w:ascii="Calibri" w:eastAsia="Times New Roman" w:hAnsi="Calibri" w:cs="Calibri"/>
                <w:b/>
                <w:i/>
              </w:rPr>
            </w:pPr>
            <w:r w:rsidRPr="001B4A27">
              <w:rPr>
                <w:rFonts w:ascii="Calibri" w:eastAsia="Times New Roman" w:hAnsi="Calibri" w:cs="Calibri"/>
                <w:b/>
                <w:i/>
              </w:rPr>
              <w:t xml:space="preserve">3) umowy z następcą, o której mowa w art. 84 ustawy z dnia 20 grudnia 1990 r. o ubezpieczeniu społecznym rolników (Dz. U. z 2025 r. poz. 1770), w wyniku </w:t>
            </w:r>
            <w:r w:rsidRPr="001B4A27">
              <w:rPr>
                <w:rFonts w:ascii="Calibri" w:eastAsia="Times New Roman" w:hAnsi="Calibri" w:cs="Calibri"/>
                <w:b/>
                <w:i/>
              </w:rPr>
              <w:lastRenderedPageBreak/>
              <w:t>której nastąpiło przeniesienie własności gospodarstwa rolnego, w której wskazany został ciągnik rolniczy wchodzący w skład tego gospodarstwa, do którego zastosowanie mają ust. 1 lub 2.</w:t>
            </w:r>
          </w:p>
          <w:p w14:paraId="0C8A8222" w14:textId="4BA147B9" w:rsidR="0059404D" w:rsidRPr="006A140B" w:rsidRDefault="0059404D" w:rsidP="0042202B">
            <w:pPr>
              <w:rPr>
                <w:rFonts w:ascii="Calibri" w:eastAsia="Times New Roman" w:hAnsi="Calibri" w:cs="Calibri"/>
                <w:b/>
              </w:rPr>
            </w:pPr>
            <w:r w:rsidRPr="001B4A27">
              <w:rPr>
                <w:rFonts w:ascii="Calibri" w:eastAsia="Times New Roman" w:hAnsi="Calibri" w:cs="Calibri"/>
                <w:b/>
                <w:i/>
              </w:rPr>
              <w:t>4. W przypadkach, o których mowa w ust. 3 pkt 1-3, organ rejestrujący, przy rejestracji pojazdu, zamieszcza adnotację, o której mowa w ust. 1.”</w:t>
            </w:r>
          </w:p>
        </w:tc>
        <w:tc>
          <w:tcPr>
            <w:tcW w:w="3686" w:type="dxa"/>
          </w:tcPr>
          <w:p w14:paraId="4CA16528"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7A55D775"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5000F192" w14:textId="77777777" w:rsidR="007B6387" w:rsidRDefault="007B6387" w:rsidP="0042202B">
            <w:pPr>
              <w:rPr>
                <w:rFonts w:cstheme="minorHAnsi"/>
                <w:b/>
              </w:rPr>
            </w:pPr>
          </w:p>
          <w:p w14:paraId="4F405763"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A091DF0" w14:textId="4A378BF4" w:rsidR="007B6387" w:rsidRPr="006A140B" w:rsidRDefault="007B6387" w:rsidP="0042202B">
            <w:pPr>
              <w:rPr>
                <w:rFonts w:cstheme="minorHAnsi"/>
                <w:b/>
              </w:rPr>
            </w:pPr>
          </w:p>
        </w:tc>
      </w:tr>
      <w:tr w:rsidR="0059404D" w:rsidRPr="00F515D6" w14:paraId="739D964E" w14:textId="7ACE75E6" w:rsidTr="00D76FE7">
        <w:tc>
          <w:tcPr>
            <w:tcW w:w="562" w:type="dxa"/>
          </w:tcPr>
          <w:p w14:paraId="2FBE4DD3" w14:textId="0D9CD6C6" w:rsidR="0059404D" w:rsidRPr="00D45D14" w:rsidRDefault="0059404D" w:rsidP="0042202B">
            <w:pPr>
              <w:rPr>
                <w:rFonts w:cstheme="minorHAnsi"/>
                <w:b/>
              </w:rPr>
            </w:pPr>
            <w:r w:rsidRPr="00D45D14">
              <w:rPr>
                <w:rFonts w:cstheme="minorHAnsi"/>
                <w:b/>
              </w:rPr>
              <w:lastRenderedPageBreak/>
              <w:t>24</w:t>
            </w:r>
          </w:p>
        </w:tc>
        <w:tc>
          <w:tcPr>
            <w:tcW w:w="993" w:type="dxa"/>
          </w:tcPr>
          <w:p w14:paraId="32BC5E76" w14:textId="4F201FD1" w:rsidR="0059404D" w:rsidRPr="00D45D14" w:rsidRDefault="0059404D" w:rsidP="0042202B">
            <w:pPr>
              <w:rPr>
                <w:rFonts w:cstheme="minorHAnsi"/>
                <w:b/>
              </w:rPr>
            </w:pPr>
            <w:r w:rsidRPr="00D45D14">
              <w:rPr>
                <w:rFonts w:cstheme="minorHAnsi"/>
                <w:b/>
              </w:rPr>
              <w:t>RCL</w:t>
            </w:r>
          </w:p>
        </w:tc>
        <w:tc>
          <w:tcPr>
            <w:tcW w:w="1701" w:type="dxa"/>
          </w:tcPr>
          <w:p w14:paraId="7F80A14A" w14:textId="44C00682" w:rsidR="0059404D" w:rsidRPr="00D45D14" w:rsidRDefault="0059404D" w:rsidP="0042202B">
            <w:pPr>
              <w:rPr>
                <w:rFonts w:cstheme="minorHAnsi"/>
                <w:b/>
              </w:rPr>
            </w:pPr>
            <w:r w:rsidRPr="00D45D14">
              <w:rPr>
                <w:rFonts w:cstheme="minorHAnsi"/>
                <w:b/>
              </w:rPr>
              <w:t>Art. 11 ust. 2 UZ</w:t>
            </w:r>
          </w:p>
        </w:tc>
        <w:tc>
          <w:tcPr>
            <w:tcW w:w="5953" w:type="dxa"/>
          </w:tcPr>
          <w:p w14:paraId="04B89E94" w14:textId="24301014" w:rsidR="0059404D" w:rsidRPr="00D45D14" w:rsidRDefault="0059404D" w:rsidP="0042202B">
            <w:pPr>
              <w:widowControl w:val="0"/>
              <w:numPr>
                <w:ilvl w:val="0"/>
                <w:numId w:val="5"/>
              </w:numPr>
              <w:tabs>
                <w:tab w:val="left" w:pos="794"/>
              </w:tabs>
              <w:ind w:hanging="567"/>
              <w:rPr>
                <w:rFonts w:cstheme="minorHAnsi"/>
                <w:b/>
              </w:rPr>
            </w:pPr>
            <w:r w:rsidRPr="00D45D14">
              <w:rPr>
                <w:rFonts w:cstheme="minorHAnsi"/>
                <w:b/>
              </w:rPr>
              <w:t>Korekty i doprecyzowania wymaga art. 11 ust. 2 projektu, stanowiący przepis przejściowy określający, jakie przepisy stosuje się do będących w toku postępowań o rejestrację pojazdów wskazanych w tym przepisie. Wskazanie w projektowanej regulacji na stosowanie przepisów „niniejszej ustawy” jest bowiem nieprawidłową konstrukcją legislacyjną i z tego względu przepis wymaga poprawienia. Ponadto podczas korekty projektowanego art. 11 należy mieć na względzie także fakt, że wchodzi on w życie w innym terminie niż projektowana ustawa, co wynika z art. 14 pkt 3 projektu. Z tego względu w opinii RCL nieprawidłowe jest odnoszenie się w projektowanym artykule do postępowań o rejestrację pojazdu wszczętych i niezakończonych przed dniem wejścia w życie projektowanej ustawy.</w:t>
            </w:r>
          </w:p>
        </w:tc>
        <w:tc>
          <w:tcPr>
            <w:tcW w:w="3827" w:type="dxa"/>
          </w:tcPr>
          <w:p w14:paraId="7D99CC7D" w14:textId="69FD68D7" w:rsidR="0059404D" w:rsidRPr="00D45D14" w:rsidRDefault="0059404D" w:rsidP="0042202B">
            <w:pPr>
              <w:pStyle w:val="ARTartustawynprozporzdzenia"/>
              <w:spacing w:before="0" w:line="240" w:lineRule="auto"/>
              <w:ind w:firstLine="0"/>
              <w:jc w:val="left"/>
              <w:rPr>
                <w:rFonts w:asciiTheme="minorHAnsi" w:eastAsiaTheme="minorHAnsi" w:hAnsiTheme="minorHAnsi" w:cstheme="minorHAnsi"/>
                <w:b/>
                <w:sz w:val="22"/>
                <w:szCs w:val="22"/>
                <w:lang w:eastAsia="en-US"/>
              </w:rPr>
            </w:pPr>
            <w:r w:rsidRPr="00D45D14">
              <w:rPr>
                <w:rFonts w:asciiTheme="minorHAnsi" w:eastAsiaTheme="minorHAnsi" w:hAnsiTheme="minorHAnsi" w:cstheme="minorHAnsi"/>
                <w:b/>
                <w:sz w:val="22"/>
                <w:szCs w:val="22"/>
                <w:lang w:eastAsia="en-US"/>
              </w:rPr>
              <w:t>Uwaga uwzględniona</w:t>
            </w:r>
            <w:r>
              <w:rPr>
                <w:rFonts w:asciiTheme="minorHAnsi" w:eastAsiaTheme="minorHAnsi" w:hAnsiTheme="minorHAnsi" w:cstheme="minorHAnsi"/>
                <w:b/>
                <w:sz w:val="22"/>
                <w:szCs w:val="22"/>
                <w:lang w:eastAsia="en-US"/>
              </w:rPr>
              <w:t>.</w:t>
            </w:r>
            <w:r w:rsidRPr="00D45D14">
              <w:rPr>
                <w:rFonts w:asciiTheme="minorHAnsi" w:eastAsiaTheme="minorHAnsi" w:hAnsiTheme="minorHAnsi" w:cstheme="minorHAnsi"/>
                <w:b/>
                <w:sz w:val="22"/>
                <w:szCs w:val="22"/>
                <w:lang w:eastAsia="en-US"/>
              </w:rPr>
              <w:t xml:space="preserve"> </w:t>
            </w:r>
          </w:p>
          <w:p w14:paraId="4AF385F7" w14:textId="15411A47" w:rsidR="0059404D" w:rsidRPr="00D45D14" w:rsidRDefault="0059404D" w:rsidP="0042202B">
            <w:pPr>
              <w:pStyle w:val="ARTartustawynprozporzdzenia"/>
              <w:spacing w:before="0" w:line="240" w:lineRule="auto"/>
              <w:ind w:firstLine="0"/>
              <w:jc w:val="left"/>
              <w:rPr>
                <w:rFonts w:asciiTheme="minorHAnsi" w:eastAsiaTheme="minorHAnsi" w:hAnsiTheme="minorHAnsi" w:cstheme="minorHAnsi"/>
                <w:b/>
                <w:i/>
                <w:sz w:val="22"/>
                <w:szCs w:val="22"/>
                <w:lang w:eastAsia="en-US"/>
              </w:rPr>
            </w:pPr>
            <w:r w:rsidRPr="00D45D14">
              <w:rPr>
                <w:rFonts w:asciiTheme="minorHAnsi" w:eastAsiaTheme="minorHAnsi" w:hAnsiTheme="minorHAnsi" w:cstheme="minorHAnsi"/>
                <w:b/>
                <w:i/>
                <w:sz w:val="22"/>
                <w:szCs w:val="22"/>
                <w:lang w:eastAsia="en-US"/>
              </w:rPr>
              <w:t xml:space="preserve">„Art. 11. 1. Do postępowań o rejestrację pojazdu wszczętych i niezakończonych przed dniem wejścia w życie niniejszej ustawy stosuje się przepisy dotychczasowe, z zastrzeżeniem ust. 2. </w:t>
            </w:r>
          </w:p>
          <w:p w14:paraId="7B672CEB" w14:textId="7DE01588" w:rsidR="0059404D" w:rsidRPr="00D45D14" w:rsidRDefault="0059404D" w:rsidP="0042202B">
            <w:pPr>
              <w:pStyle w:val="ARTartustawynprozporzdzenia"/>
              <w:spacing w:before="0" w:line="240" w:lineRule="auto"/>
              <w:ind w:firstLine="0"/>
              <w:jc w:val="left"/>
              <w:rPr>
                <w:rFonts w:asciiTheme="minorHAnsi" w:eastAsiaTheme="minorHAnsi" w:hAnsiTheme="minorHAnsi" w:cstheme="minorHAnsi"/>
                <w:b/>
                <w:i/>
                <w:sz w:val="22"/>
                <w:szCs w:val="22"/>
                <w:lang w:eastAsia="en-US"/>
              </w:rPr>
            </w:pPr>
            <w:r w:rsidRPr="00D45D14">
              <w:rPr>
                <w:rFonts w:asciiTheme="minorHAnsi" w:eastAsiaTheme="minorHAnsi" w:hAnsiTheme="minorHAnsi" w:cstheme="minorHAnsi"/>
                <w:b/>
                <w:i/>
                <w:sz w:val="22"/>
                <w:szCs w:val="22"/>
                <w:lang w:eastAsia="en-US"/>
              </w:rPr>
              <w:t>2. Do postępowań o rejestrację pojazdu wszczętych i niezakończonych przed dniem wejścia w życie niniejszej ustawy, w odniesieniu do pojazdu, o którym mowa w art. 68a ust. 5–7 dodawanym do ustawy zmienianej w art. 1, stosuje się przepisy w brzmieniu nadanym niniejszą ustawą.”</w:t>
            </w:r>
          </w:p>
          <w:p w14:paraId="7F93C191" w14:textId="77777777" w:rsidR="0059404D" w:rsidRPr="00D45D14" w:rsidRDefault="0059404D" w:rsidP="0042202B">
            <w:pPr>
              <w:rPr>
                <w:rFonts w:cs="Arial"/>
                <w:b/>
                <w:highlight w:val="yellow"/>
              </w:rPr>
            </w:pPr>
          </w:p>
          <w:p w14:paraId="0903D8B7" w14:textId="16C43DA3" w:rsidR="0059404D" w:rsidRPr="00D45D14" w:rsidRDefault="0059404D" w:rsidP="0042202B">
            <w:pPr>
              <w:rPr>
                <w:rFonts w:cs="Arial"/>
              </w:rPr>
            </w:pPr>
            <w:r w:rsidRPr="00D45D14">
              <w:rPr>
                <w:rFonts w:cs="Arial"/>
                <w:b/>
              </w:rPr>
              <w:t xml:space="preserve">Jednocześnie art. 11 </w:t>
            </w:r>
            <w:r>
              <w:rPr>
                <w:rFonts w:cs="Arial"/>
                <w:b/>
              </w:rPr>
              <w:t xml:space="preserve">ust. 2 </w:t>
            </w:r>
            <w:r w:rsidRPr="00D45D14">
              <w:rPr>
                <w:rFonts w:cs="Arial"/>
                <w:b/>
              </w:rPr>
              <w:t xml:space="preserve">będzie stosowany w terminie 12 miesięcy od </w:t>
            </w:r>
            <w:r w:rsidRPr="00D45D14">
              <w:rPr>
                <w:rFonts w:cs="Arial"/>
                <w:b/>
              </w:rPr>
              <w:lastRenderedPageBreak/>
              <w:t>dnia ogłoszenia ustawy – analogicznie jak przepisy art. 68a.</w:t>
            </w:r>
            <w:r w:rsidRPr="00D45D14">
              <w:rPr>
                <w:rFonts w:cs="Arial"/>
              </w:rPr>
              <w:t xml:space="preserve"> </w:t>
            </w:r>
          </w:p>
        </w:tc>
        <w:tc>
          <w:tcPr>
            <w:tcW w:w="3686" w:type="dxa"/>
          </w:tcPr>
          <w:p w14:paraId="695B5E0B"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352CB8E7" w14:textId="77777777" w:rsidR="0059404D" w:rsidRDefault="00886B1B" w:rsidP="0042202B">
            <w:pPr>
              <w:pStyle w:val="ARTartustawynprozporzdzenia"/>
              <w:spacing w:before="0" w:line="240" w:lineRule="auto"/>
              <w:ind w:firstLine="0"/>
              <w:jc w:val="left"/>
              <w:rPr>
                <w:rFonts w:asciiTheme="minorHAnsi" w:eastAsiaTheme="minorHAnsi" w:hAnsiTheme="minorHAnsi" w:cstheme="minorHAnsi"/>
                <w:b/>
                <w:sz w:val="22"/>
                <w:szCs w:val="22"/>
                <w:lang w:eastAsia="en-US"/>
              </w:rPr>
            </w:pPr>
            <w:r w:rsidRPr="00886B1B">
              <w:rPr>
                <w:rFonts w:asciiTheme="minorHAnsi" w:eastAsiaTheme="minorHAnsi" w:hAnsiTheme="minorHAnsi" w:cstheme="minorHAnsi"/>
                <w:b/>
                <w:sz w:val="22"/>
                <w:szCs w:val="22"/>
                <w:lang w:eastAsia="en-US"/>
              </w:rPr>
              <w:t>nr RCL.DPŚI.550.20.2025</w:t>
            </w:r>
          </w:p>
          <w:p w14:paraId="1168A9C6" w14:textId="77777777" w:rsidR="007B6387" w:rsidRDefault="007B6387" w:rsidP="0042202B">
            <w:pPr>
              <w:pStyle w:val="ARTartustawynprozporzdzenia"/>
              <w:spacing w:before="0" w:line="240" w:lineRule="auto"/>
              <w:ind w:firstLine="0"/>
              <w:jc w:val="left"/>
              <w:rPr>
                <w:rFonts w:asciiTheme="minorHAnsi" w:eastAsiaTheme="minorHAnsi" w:hAnsiTheme="minorHAnsi" w:cstheme="minorHAnsi"/>
                <w:b/>
                <w:sz w:val="22"/>
                <w:szCs w:val="22"/>
                <w:lang w:eastAsia="en-US"/>
              </w:rPr>
            </w:pPr>
          </w:p>
          <w:p w14:paraId="7745D5F0"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5D8DE01B" w14:textId="0FBE44F8" w:rsidR="007B6387" w:rsidRPr="00D45D14" w:rsidRDefault="007B6387" w:rsidP="0042202B">
            <w:pPr>
              <w:pStyle w:val="ARTartustawynprozporzdzenia"/>
              <w:spacing w:before="0" w:line="240" w:lineRule="auto"/>
              <w:ind w:firstLine="0"/>
              <w:jc w:val="left"/>
              <w:rPr>
                <w:rFonts w:asciiTheme="minorHAnsi" w:eastAsiaTheme="minorHAnsi" w:hAnsiTheme="minorHAnsi" w:cstheme="minorHAnsi"/>
                <w:b/>
                <w:sz w:val="22"/>
                <w:szCs w:val="22"/>
                <w:lang w:eastAsia="en-US"/>
              </w:rPr>
            </w:pPr>
          </w:p>
        </w:tc>
      </w:tr>
      <w:tr w:rsidR="0059404D" w:rsidRPr="00F515D6" w14:paraId="428A3A90" w14:textId="26DB46D9" w:rsidTr="00D76FE7">
        <w:tc>
          <w:tcPr>
            <w:tcW w:w="562" w:type="dxa"/>
          </w:tcPr>
          <w:p w14:paraId="7F9C2684" w14:textId="65D605BA" w:rsidR="0059404D" w:rsidRPr="00920358" w:rsidRDefault="0059404D" w:rsidP="0042202B">
            <w:pPr>
              <w:rPr>
                <w:rFonts w:cstheme="minorHAnsi"/>
                <w:b/>
              </w:rPr>
            </w:pPr>
            <w:r w:rsidRPr="00920358">
              <w:rPr>
                <w:rFonts w:cstheme="minorHAnsi"/>
                <w:b/>
              </w:rPr>
              <w:t>25</w:t>
            </w:r>
          </w:p>
        </w:tc>
        <w:tc>
          <w:tcPr>
            <w:tcW w:w="993" w:type="dxa"/>
          </w:tcPr>
          <w:p w14:paraId="09027EDE" w14:textId="77777777" w:rsidR="0059404D" w:rsidRDefault="0059404D" w:rsidP="0042202B">
            <w:pPr>
              <w:rPr>
                <w:rFonts w:cstheme="minorHAnsi"/>
                <w:b/>
              </w:rPr>
            </w:pPr>
            <w:r w:rsidRPr="00920358">
              <w:rPr>
                <w:rFonts w:cstheme="minorHAnsi"/>
                <w:b/>
              </w:rPr>
              <w:t>RCL</w:t>
            </w:r>
          </w:p>
          <w:p w14:paraId="54DA70D7" w14:textId="77777777" w:rsidR="0059404D" w:rsidRDefault="0059404D" w:rsidP="0042202B">
            <w:pPr>
              <w:rPr>
                <w:rFonts w:cstheme="minorHAnsi"/>
                <w:b/>
              </w:rPr>
            </w:pPr>
          </w:p>
          <w:p w14:paraId="1FD22C61" w14:textId="2FF07EB3" w:rsidR="0059404D" w:rsidRDefault="0059404D" w:rsidP="0042202B">
            <w:pPr>
              <w:rPr>
                <w:rFonts w:cstheme="minorHAnsi"/>
                <w:b/>
                <w:color w:val="00B050"/>
              </w:rPr>
            </w:pPr>
            <w:r>
              <w:rPr>
                <w:rFonts w:cstheme="minorHAnsi"/>
                <w:b/>
                <w:color w:val="00B050"/>
              </w:rPr>
              <w:t>+39 MFiG (MRiT) w zakresie nowej opłaty</w:t>
            </w:r>
          </w:p>
          <w:p w14:paraId="3B0752EA" w14:textId="77777777" w:rsidR="0059404D" w:rsidRDefault="0059404D" w:rsidP="0042202B">
            <w:pPr>
              <w:rPr>
                <w:rFonts w:cstheme="minorHAnsi"/>
                <w:b/>
                <w:color w:val="00B050"/>
              </w:rPr>
            </w:pPr>
          </w:p>
          <w:p w14:paraId="07BD0D72" w14:textId="1DD230EA" w:rsidR="0059404D" w:rsidRDefault="0059404D" w:rsidP="0042202B">
            <w:pPr>
              <w:rPr>
                <w:rFonts w:cstheme="minorHAnsi"/>
                <w:b/>
                <w:color w:val="00B050"/>
              </w:rPr>
            </w:pPr>
            <w:r>
              <w:rPr>
                <w:rFonts w:cstheme="minorHAnsi"/>
                <w:b/>
                <w:color w:val="00B050"/>
              </w:rPr>
              <w:t>+96-99 MFiG</w:t>
            </w:r>
          </w:p>
          <w:p w14:paraId="7A9064A3" w14:textId="1CD3AE2E" w:rsidR="0059404D" w:rsidRPr="00A06A21" w:rsidRDefault="0059404D" w:rsidP="0042202B">
            <w:pPr>
              <w:rPr>
                <w:rFonts w:cstheme="minorHAnsi"/>
                <w:b/>
                <w:color w:val="00B050"/>
              </w:rPr>
            </w:pPr>
            <w:r>
              <w:rPr>
                <w:rFonts w:cstheme="minorHAnsi"/>
                <w:b/>
                <w:color w:val="00B050"/>
              </w:rPr>
              <w:t>+129 MSZ</w:t>
            </w:r>
          </w:p>
          <w:p w14:paraId="247EA3A5" w14:textId="1F1D1E43" w:rsidR="0059404D" w:rsidRPr="00C9644E" w:rsidRDefault="0059404D" w:rsidP="0042202B">
            <w:pPr>
              <w:rPr>
                <w:rFonts w:cstheme="minorHAnsi"/>
                <w:b/>
                <w:color w:val="00B050"/>
              </w:rPr>
            </w:pPr>
          </w:p>
        </w:tc>
        <w:tc>
          <w:tcPr>
            <w:tcW w:w="1701" w:type="dxa"/>
          </w:tcPr>
          <w:p w14:paraId="2958B700" w14:textId="06B3F73F" w:rsidR="0059404D" w:rsidRPr="00920358" w:rsidRDefault="0059404D" w:rsidP="0042202B">
            <w:pPr>
              <w:rPr>
                <w:rFonts w:cstheme="minorHAnsi"/>
                <w:b/>
              </w:rPr>
            </w:pPr>
            <w:r w:rsidRPr="00920358">
              <w:rPr>
                <w:rFonts w:cstheme="minorHAnsi"/>
                <w:b/>
              </w:rPr>
              <w:t>Art. 14 UZ</w:t>
            </w:r>
          </w:p>
        </w:tc>
        <w:tc>
          <w:tcPr>
            <w:tcW w:w="5953" w:type="dxa"/>
          </w:tcPr>
          <w:p w14:paraId="612E0611" w14:textId="77777777" w:rsidR="0059404D" w:rsidRPr="00920358" w:rsidRDefault="0059404D" w:rsidP="0042202B">
            <w:pPr>
              <w:widowControl w:val="0"/>
              <w:numPr>
                <w:ilvl w:val="0"/>
                <w:numId w:val="5"/>
              </w:numPr>
              <w:tabs>
                <w:tab w:val="left" w:pos="794"/>
              </w:tabs>
              <w:ind w:hanging="567"/>
              <w:rPr>
                <w:rFonts w:cstheme="minorHAnsi"/>
                <w:b/>
              </w:rPr>
            </w:pPr>
            <w:r w:rsidRPr="00920358">
              <w:rPr>
                <w:rFonts w:cstheme="minorHAnsi"/>
                <w:b/>
              </w:rPr>
              <w:t xml:space="preserve">Z art. 14 projektu wynika, że projektowana ustawa wejdzie w życie - co do zasady - po upływie 14 dni od dnia ogłoszenia. Powyższe oznacza, że w tym terminie wejdą w życie m.in. regulacje proponowane w art. 68zk ustawy (art. 1 pkt 10 projektu), które regulują opłatę za nadzór rynku motoryzacyjnego. </w:t>
            </w:r>
          </w:p>
          <w:p w14:paraId="4B714E78" w14:textId="4226AFAB" w:rsidR="0059404D" w:rsidRPr="00920358" w:rsidRDefault="0059404D" w:rsidP="0042202B">
            <w:pPr>
              <w:widowControl w:val="0"/>
              <w:numPr>
                <w:ilvl w:val="0"/>
                <w:numId w:val="5"/>
              </w:numPr>
              <w:tabs>
                <w:tab w:val="left" w:pos="794"/>
              </w:tabs>
              <w:ind w:hanging="567"/>
              <w:rPr>
                <w:rFonts w:cstheme="minorHAnsi"/>
                <w:b/>
              </w:rPr>
            </w:pPr>
            <w:r w:rsidRPr="00920358">
              <w:rPr>
                <w:rFonts w:cstheme="minorHAnsi"/>
                <w:b/>
              </w:rPr>
              <w:t xml:space="preserve">Mając na względzie, że jest to nowa opłata w systemie prawa i obowiązani do jej uiszczania będą producenci pojazdów, którzy będą dokonywać tzw. samonaliczenia tej opłaty i uiszczać ją za okresy kwartalne, powstaje pytanie, czy proponowane </w:t>
            </w:r>
            <w:r w:rsidRPr="00920358">
              <w:rPr>
                <w:rStyle w:val="Teksttreci2Kursywa"/>
                <w:rFonts w:asciiTheme="minorHAnsi" w:eastAsiaTheme="minorHAnsi" w:hAnsiTheme="minorHAnsi" w:cstheme="minorHAnsi"/>
                <w:b/>
                <w:sz w:val="22"/>
                <w:szCs w:val="22"/>
              </w:rPr>
              <w:t>vacatio legis</w:t>
            </w:r>
            <w:r w:rsidRPr="00920358">
              <w:rPr>
                <w:rFonts w:cstheme="minorHAnsi"/>
                <w:b/>
              </w:rPr>
              <w:t xml:space="preserve"> jest wystarczające i adekwatne dla wprowadzenia ww. nowego obowiązku i czy nie powinny zostać dodane przepisy określające, za jaki okres należy dokonać pierwszego naliczenia i uiszczenia ww. opłaty.</w:t>
            </w:r>
          </w:p>
        </w:tc>
        <w:tc>
          <w:tcPr>
            <w:tcW w:w="3827" w:type="dxa"/>
          </w:tcPr>
          <w:p w14:paraId="552845D3" w14:textId="0656DAF8" w:rsidR="0059404D" w:rsidRDefault="0059404D" w:rsidP="0042202B">
            <w:pPr>
              <w:rPr>
                <w:rFonts w:cstheme="minorHAnsi"/>
                <w:b/>
              </w:rPr>
            </w:pPr>
            <w:r w:rsidRPr="00920358">
              <w:rPr>
                <w:rFonts w:cstheme="minorHAnsi"/>
                <w:b/>
              </w:rPr>
              <w:t>Uwaga uwzględniona – nowy przepis końcowy:</w:t>
            </w:r>
          </w:p>
          <w:p w14:paraId="4D1B1C88" w14:textId="77777777" w:rsidR="0059404D" w:rsidRPr="00920358" w:rsidRDefault="0059404D" w:rsidP="0042202B">
            <w:pPr>
              <w:rPr>
                <w:rFonts w:cstheme="minorHAnsi"/>
                <w:b/>
              </w:rPr>
            </w:pPr>
          </w:p>
          <w:p w14:paraId="6DC792B8" w14:textId="6DBBBA23" w:rsidR="0059404D" w:rsidRPr="00920358" w:rsidRDefault="0059404D" w:rsidP="0042202B">
            <w:pPr>
              <w:pStyle w:val="ARTartustawynprozporzdzenia"/>
              <w:spacing w:before="0" w:line="240" w:lineRule="auto"/>
              <w:ind w:firstLine="0"/>
              <w:contextualSpacing/>
              <w:jc w:val="left"/>
              <w:rPr>
                <w:rFonts w:asciiTheme="minorHAnsi" w:eastAsiaTheme="minorHAnsi" w:hAnsiTheme="minorHAnsi" w:cstheme="minorHAnsi"/>
                <w:b/>
                <w:i/>
                <w:sz w:val="22"/>
                <w:szCs w:val="22"/>
                <w:lang w:eastAsia="en-US"/>
              </w:rPr>
            </w:pPr>
            <w:r w:rsidRPr="00920358">
              <w:rPr>
                <w:rFonts w:asciiTheme="minorHAnsi" w:eastAsiaTheme="minorHAnsi" w:hAnsiTheme="minorHAnsi" w:cstheme="minorHAnsi"/>
                <w:b/>
                <w:i/>
                <w:sz w:val="22"/>
                <w:szCs w:val="22"/>
                <w:lang w:eastAsia="en-US"/>
              </w:rPr>
              <w:t>„</w:t>
            </w:r>
            <w:r>
              <w:rPr>
                <w:rFonts w:asciiTheme="minorHAnsi" w:eastAsiaTheme="minorHAnsi" w:hAnsiTheme="minorHAnsi" w:cstheme="minorHAnsi"/>
                <w:b/>
                <w:i/>
                <w:sz w:val="22"/>
                <w:szCs w:val="22"/>
                <w:lang w:eastAsia="en-US"/>
              </w:rPr>
              <w:t xml:space="preserve">Art. 16. </w:t>
            </w:r>
            <w:r w:rsidRPr="00920358">
              <w:rPr>
                <w:rFonts w:asciiTheme="minorHAnsi" w:eastAsiaTheme="minorHAnsi" w:hAnsiTheme="minorHAnsi" w:cstheme="minorHAnsi"/>
                <w:b/>
                <w:i/>
                <w:sz w:val="22"/>
                <w:szCs w:val="22"/>
                <w:lang w:eastAsia="en-US"/>
              </w:rPr>
              <w:t>W pierwszym roku obowiązywania ustawy, opłata, o której mowa w dodawanym art. 68zk ust. 1 do ustawy zmienianej w art. 1, jest uiszczana po raz pierwszy po zakończonym pierwszym pełnym kwartale tego roku.</w:t>
            </w:r>
            <w:r>
              <w:rPr>
                <w:rFonts w:asciiTheme="minorHAnsi" w:eastAsiaTheme="minorHAnsi" w:hAnsiTheme="minorHAnsi" w:cstheme="minorHAnsi"/>
                <w:b/>
                <w:i/>
                <w:sz w:val="22"/>
                <w:szCs w:val="22"/>
                <w:lang w:eastAsia="en-US"/>
              </w:rPr>
              <w:t>”</w:t>
            </w:r>
          </w:p>
          <w:p w14:paraId="4B98EA27" w14:textId="77777777" w:rsidR="0059404D" w:rsidRDefault="0059404D" w:rsidP="0042202B">
            <w:pPr>
              <w:rPr>
                <w:rFonts w:cstheme="minorHAnsi"/>
                <w:b/>
              </w:rPr>
            </w:pPr>
          </w:p>
          <w:p w14:paraId="1F7ABBFA" w14:textId="6C195404" w:rsidR="0059404D" w:rsidRPr="00920358" w:rsidRDefault="0059404D" w:rsidP="0042202B">
            <w:pPr>
              <w:rPr>
                <w:rFonts w:cstheme="minorHAnsi"/>
                <w:b/>
              </w:rPr>
            </w:pPr>
          </w:p>
        </w:tc>
        <w:tc>
          <w:tcPr>
            <w:tcW w:w="3686" w:type="dxa"/>
          </w:tcPr>
          <w:p w14:paraId="498AF1E3"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5B9154F2"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22545BF4" w14:textId="77777777" w:rsidR="007B6387" w:rsidRDefault="007B6387" w:rsidP="0042202B">
            <w:pPr>
              <w:rPr>
                <w:rFonts w:cstheme="minorHAnsi"/>
                <w:b/>
              </w:rPr>
            </w:pPr>
          </w:p>
          <w:p w14:paraId="19585178"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4539C0E8" w14:textId="7174A113" w:rsidR="007B6387" w:rsidRPr="00920358" w:rsidRDefault="007B6387" w:rsidP="0042202B">
            <w:pPr>
              <w:rPr>
                <w:rFonts w:cstheme="minorHAnsi"/>
                <w:b/>
              </w:rPr>
            </w:pPr>
          </w:p>
        </w:tc>
      </w:tr>
      <w:tr w:rsidR="0059404D" w:rsidRPr="00F515D6" w14:paraId="6E485E50" w14:textId="53AA6876" w:rsidTr="00D76FE7">
        <w:tc>
          <w:tcPr>
            <w:tcW w:w="562" w:type="dxa"/>
          </w:tcPr>
          <w:p w14:paraId="4BF590DC" w14:textId="56EAE05B" w:rsidR="0059404D" w:rsidRPr="00BC4B0C" w:rsidRDefault="0059404D" w:rsidP="0042202B">
            <w:pPr>
              <w:rPr>
                <w:rFonts w:cstheme="minorHAnsi"/>
                <w:b/>
              </w:rPr>
            </w:pPr>
            <w:r w:rsidRPr="00BC4B0C">
              <w:rPr>
                <w:rFonts w:cstheme="minorHAnsi"/>
                <w:b/>
              </w:rPr>
              <w:t>26</w:t>
            </w:r>
          </w:p>
        </w:tc>
        <w:tc>
          <w:tcPr>
            <w:tcW w:w="993" w:type="dxa"/>
          </w:tcPr>
          <w:p w14:paraId="6AD4AC1B" w14:textId="77777777" w:rsidR="0059404D" w:rsidRDefault="0059404D" w:rsidP="0042202B">
            <w:pPr>
              <w:rPr>
                <w:rFonts w:cstheme="minorHAnsi"/>
                <w:b/>
              </w:rPr>
            </w:pPr>
            <w:r w:rsidRPr="00BC4B0C">
              <w:rPr>
                <w:rFonts w:cstheme="minorHAnsi"/>
                <w:b/>
              </w:rPr>
              <w:t>RCL</w:t>
            </w:r>
          </w:p>
          <w:p w14:paraId="26C32D01" w14:textId="0A07DDCD" w:rsidR="0059404D" w:rsidRPr="00BC4B0C" w:rsidRDefault="0059404D" w:rsidP="0042202B">
            <w:pPr>
              <w:rPr>
                <w:rFonts w:cstheme="minorHAnsi"/>
                <w:b/>
              </w:rPr>
            </w:pPr>
            <w:r>
              <w:rPr>
                <w:rFonts w:cstheme="minorHAnsi"/>
                <w:b/>
                <w:color w:val="00B050"/>
              </w:rPr>
              <w:t>+ uwaga 80 MC</w:t>
            </w:r>
          </w:p>
        </w:tc>
        <w:tc>
          <w:tcPr>
            <w:tcW w:w="1701" w:type="dxa"/>
          </w:tcPr>
          <w:p w14:paraId="247001BD" w14:textId="77777777" w:rsidR="0059404D" w:rsidRDefault="0059404D" w:rsidP="0042202B">
            <w:pPr>
              <w:rPr>
                <w:rFonts w:cstheme="minorHAnsi"/>
                <w:b/>
              </w:rPr>
            </w:pPr>
            <w:r w:rsidRPr="00BC4B0C">
              <w:rPr>
                <w:rFonts w:cstheme="minorHAnsi"/>
                <w:b/>
              </w:rPr>
              <w:t>Art. 14 UZ</w:t>
            </w:r>
          </w:p>
          <w:p w14:paraId="28A2341D" w14:textId="71A8C33D" w:rsidR="0059404D" w:rsidRPr="00BC4B0C" w:rsidRDefault="0059404D" w:rsidP="0042202B">
            <w:pPr>
              <w:rPr>
                <w:rFonts w:cstheme="minorHAnsi"/>
                <w:b/>
              </w:rPr>
            </w:pPr>
          </w:p>
        </w:tc>
        <w:tc>
          <w:tcPr>
            <w:tcW w:w="5953" w:type="dxa"/>
          </w:tcPr>
          <w:p w14:paraId="1AFDE9C1" w14:textId="77777777" w:rsidR="0059404D" w:rsidRPr="00BC4B0C" w:rsidRDefault="0059404D" w:rsidP="0042202B">
            <w:pPr>
              <w:widowControl w:val="0"/>
              <w:tabs>
                <w:tab w:val="left" w:pos="794"/>
              </w:tabs>
              <w:rPr>
                <w:rFonts w:cstheme="minorHAnsi"/>
                <w:b/>
              </w:rPr>
            </w:pPr>
            <w:r w:rsidRPr="00BC4B0C">
              <w:rPr>
                <w:rFonts w:cstheme="minorHAnsi"/>
                <w:b/>
              </w:rPr>
              <w:t xml:space="preserve">W art. 14 projektu, stanowiącym przepis o wejściu w życie, w pkt 1 i 2 są wskazane przepisy, które „w zakresie, w jakim dotyczą świadectw zgodności w postaci elektronicznej” oraz „w zakresie, w jakim dotyczą procedury krajowego indywidualnego dopuszczenia pojazdu niebędącego pojazdem nowym” miałyby wejść w życie odpowiednio 5 lipca 2026 r. albo po upływie 6 miesięcy od dnia ogłoszenia projektowanej ustawy. Jeżeli jest uzasadniona potrzeba, aby proponowane regulacje w ww. zakresach zaczęły obowiązywać później, RCL rekomenduje zastosowanie innego rozwiązania, tj. zamiast wskazywania innego terminu wejścia w życie dla danego zakresu, proponuje się wskazanie, od kiedy regulacje w ww. </w:t>
            </w:r>
            <w:r w:rsidRPr="00BC4B0C">
              <w:rPr>
                <w:rFonts w:cstheme="minorHAnsi"/>
                <w:b/>
              </w:rPr>
              <w:lastRenderedPageBreak/>
              <w:t>zakresie mają być stosowane.</w:t>
            </w:r>
          </w:p>
          <w:p w14:paraId="71B61193" w14:textId="05ED43C0" w:rsidR="0059404D" w:rsidRPr="00BC4B0C" w:rsidRDefault="0059404D" w:rsidP="0042202B">
            <w:pPr>
              <w:rPr>
                <w:rFonts w:cstheme="minorHAnsi"/>
                <w:b/>
              </w:rPr>
            </w:pPr>
            <w:r w:rsidRPr="00BC4B0C">
              <w:rPr>
                <w:rFonts w:cstheme="minorHAnsi"/>
                <w:b/>
              </w:rPr>
              <w:t xml:space="preserve">Ponadto RCL zauważa, że wskazanie wyjątków w przepisie o wejściu w życie albo określenie innego okresu obowiązywania regulacji wymaga podania szczegółowego </w:t>
            </w:r>
            <w:r w:rsidRPr="00BC4B0C">
              <w:rPr>
                <w:rStyle w:val="Teksttreci2Kursywa"/>
                <w:rFonts w:asciiTheme="minorHAnsi" w:eastAsiaTheme="minorHAnsi" w:hAnsiTheme="minorHAnsi" w:cstheme="minorHAnsi"/>
                <w:b/>
                <w:sz w:val="22"/>
                <w:szCs w:val="22"/>
              </w:rPr>
              <w:t>ratio legis</w:t>
            </w:r>
            <w:r w:rsidRPr="00BC4B0C">
              <w:rPr>
                <w:rFonts w:cstheme="minorHAnsi"/>
                <w:b/>
              </w:rPr>
              <w:t xml:space="preserve"> przyjęcia takich rozwiązań. Obecnie uzasadnienie do projektu nie wyjaśnia szczegółowo ww. kwestii.</w:t>
            </w:r>
          </w:p>
        </w:tc>
        <w:tc>
          <w:tcPr>
            <w:tcW w:w="3827" w:type="dxa"/>
          </w:tcPr>
          <w:p w14:paraId="30DD4E4E" w14:textId="08A94FE4" w:rsidR="0059404D" w:rsidRDefault="0059404D" w:rsidP="0042202B">
            <w:pPr>
              <w:rPr>
                <w:rFonts w:cstheme="minorHAnsi"/>
                <w:b/>
              </w:rPr>
            </w:pPr>
            <w:r>
              <w:rPr>
                <w:rFonts w:cstheme="minorHAnsi"/>
                <w:b/>
              </w:rPr>
              <w:lastRenderedPageBreak/>
              <w:t xml:space="preserve">Uwaga uwzględniona – wprowadzono zmiany w przepisie dot. wejścia w życie ustawy oraz uzasadnienie jak poniżej wejścia w życie przepisów w terminie innym niż 14 dni: </w:t>
            </w:r>
          </w:p>
          <w:p w14:paraId="05C43EB6" w14:textId="77777777" w:rsidR="0059404D" w:rsidRDefault="0059404D" w:rsidP="0042202B">
            <w:pPr>
              <w:rPr>
                <w:rFonts w:cstheme="minorHAnsi"/>
              </w:rPr>
            </w:pPr>
          </w:p>
          <w:p w14:paraId="60FF37C5" w14:textId="604CB859" w:rsidR="0059404D" w:rsidRDefault="0059404D" w:rsidP="0042202B">
            <w:pPr>
              <w:rPr>
                <w:rFonts w:cstheme="minorHAnsi"/>
                <w:b/>
              </w:rPr>
            </w:pPr>
            <w:r>
              <w:rPr>
                <w:rFonts w:cstheme="minorHAnsi"/>
                <w:b/>
              </w:rPr>
              <w:t xml:space="preserve">1. </w:t>
            </w:r>
            <w:r w:rsidRPr="00180BE6">
              <w:rPr>
                <w:rFonts w:cstheme="minorHAnsi"/>
                <w:b/>
              </w:rPr>
              <w:t xml:space="preserve">Ustawa przewiduje stosowanie przepisów dotyczących procedury krajowego indywidualnego dopuszczenia pojazdu niebędącego nowym pojazdem w odniesieniu do pojazdów z krajów trzecich </w:t>
            </w:r>
            <w:r w:rsidRPr="00180BE6">
              <w:rPr>
                <w:rFonts w:cstheme="minorHAnsi"/>
                <w:b/>
              </w:rPr>
              <w:lastRenderedPageBreak/>
              <w:t xml:space="preserve">rejestrowanych po raz pierwszy w PL - w terminie 12 miesięcy od dnia jej wejścia w życie – aby </w:t>
            </w:r>
            <w:r>
              <w:rPr>
                <w:rFonts w:cstheme="minorHAnsi"/>
                <w:b/>
              </w:rPr>
              <w:t xml:space="preserve">zapewnić odpowiedni czas na przygotowanie się do jej realizacji przez uprawnionych diagnostów zatrudnionych przez przedsiębiorców prowadzących skp – aby </w:t>
            </w:r>
            <w:r w:rsidRPr="00180BE6">
              <w:rPr>
                <w:rFonts w:cstheme="minorHAnsi"/>
                <w:b/>
              </w:rPr>
              <w:t>możliwa była realizacja tej procedury konieczne jest wejście w życie pół roku wcześniej przepisów dotyczących szkolenia</w:t>
            </w:r>
            <w:r>
              <w:rPr>
                <w:rFonts w:cstheme="minorHAnsi"/>
                <w:b/>
              </w:rPr>
              <w:t xml:space="preserve"> i</w:t>
            </w:r>
            <w:r w:rsidRPr="00180BE6">
              <w:rPr>
                <w:rFonts w:cstheme="minorHAnsi"/>
                <w:b/>
              </w:rPr>
              <w:t xml:space="preserve"> egzaminowania diagnostów oraz powoływania ośrodków szkolenia</w:t>
            </w:r>
            <w:r>
              <w:rPr>
                <w:rFonts w:cstheme="minorHAnsi"/>
                <w:b/>
              </w:rPr>
              <w:t xml:space="preserve">, jak również przepisów związanych z wydawaniem zaświadczeń kwalifikacyjnych dla diagnostów i uprawnień stacjom kontroli pojazdów. </w:t>
            </w:r>
          </w:p>
          <w:p w14:paraId="7645FBDF" w14:textId="2ED37DCF" w:rsidR="0059404D" w:rsidRDefault="0059404D" w:rsidP="0042202B">
            <w:pPr>
              <w:rPr>
                <w:rFonts w:cstheme="minorHAnsi"/>
                <w:b/>
              </w:rPr>
            </w:pPr>
            <w:r>
              <w:rPr>
                <w:rFonts w:cstheme="minorHAnsi"/>
                <w:b/>
              </w:rPr>
              <w:t xml:space="preserve">2. </w:t>
            </w:r>
            <w:r>
              <w:t xml:space="preserve"> </w:t>
            </w:r>
            <w:r w:rsidRPr="00DA270B">
              <w:rPr>
                <w:rFonts w:cstheme="minorHAnsi"/>
                <w:b/>
              </w:rPr>
              <w:t>Ustawa przewiduje stosowanie przepisów ograniczających poruszanie się w ruchu międzynarodowym</w:t>
            </w:r>
            <w:r>
              <w:rPr>
                <w:rFonts w:cstheme="minorHAnsi"/>
                <w:b/>
              </w:rPr>
              <w:t xml:space="preserve"> </w:t>
            </w:r>
            <w:r w:rsidRPr="00DA270B">
              <w:rPr>
                <w:rFonts w:cstheme="minorHAnsi"/>
                <w:b/>
              </w:rPr>
              <w:t xml:space="preserve">pojazdów wjeżdżających na terytorium RP bezpośrednio z terytoriów państw trzecich - w terminie 12 miesięcy od dnia jej wejścia w życie – aby zapewnić odpowiedni czas na przygotowanie się do </w:t>
            </w:r>
            <w:r>
              <w:rPr>
                <w:rFonts w:cstheme="minorHAnsi"/>
                <w:b/>
              </w:rPr>
              <w:t>ich</w:t>
            </w:r>
            <w:r w:rsidRPr="00DA270B">
              <w:rPr>
                <w:rFonts w:cstheme="minorHAnsi"/>
                <w:b/>
              </w:rPr>
              <w:t xml:space="preserve"> realizacji </w:t>
            </w:r>
            <w:r>
              <w:rPr>
                <w:rFonts w:cstheme="minorHAnsi"/>
                <w:b/>
              </w:rPr>
              <w:t xml:space="preserve">m.in. poprzez odpowiednie dostosowanie systemu Straży Granicznej oraz organów </w:t>
            </w:r>
            <w:r>
              <w:rPr>
                <w:rFonts w:cstheme="minorHAnsi"/>
                <w:b/>
              </w:rPr>
              <w:lastRenderedPageBreak/>
              <w:t>kontroli ruchu drogowego do udostępniania informacji.</w:t>
            </w:r>
          </w:p>
          <w:p w14:paraId="0C568566" w14:textId="697A1FEA" w:rsidR="0059404D" w:rsidRPr="00180BE6" w:rsidRDefault="0059404D" w:rsidP="0042202B">
            <w:pPr>
              <w:rPr>
                <w:rFonts w:cstheme="minorHAnsi"/>
                <w:b/>
              </w:rPr>
            </w:pPr>
            <w:r>
              <w:rPr>
                <w:rFonts w:cstheme="minorHAnsi"/>
                <w:b/>
              </w:rPr>
              <w:t>3.</w:t>
            </w:r>
            <w:r w:rsidRPr="00180BE6">
              <w:rPr>
                <w:rFonts w:cstheme="minorHAnsi"/>
                <w:b/>
              </w:rPr>
              <w:t xml:space="preserve"> </w:t>
            </w:r>
            <w:r>
              <w:t xml:space="preserve"> </w:t>
            </w:r>
            <w:r w:rsidRPr="00DA270B">
              <w:rPr>
                <w:rFonts w:cstheme="minorHAnsi"/>
                <w:b/>
              </w:rPr>
              <w:t>Ustawa przewiduje stosowanie przepisów dotyczących</w:t>
            </w:r>
            <w:r>
              <w:rPr>
                <w:rFonts w:cstheme="minorHAnsi"/>
                <w:b/>
              </w:rPr>
              <w:t xml:space="preserve"> poszerzenia informacji zamieszczanych na liście rzeczoznawców samochodowych prowadzonej przez ministra właściwego do spraw transportu </w:t>
            </w:r>
            <w:r w:rsidRPr="00DA270B">
              <w:rPr>
                <w:rFonts w:cstheme="minorHAnsi"/>
                <w:b/>
              </w:rPr>
              <w:t xml:space="preserve">- w terminie 2 miesięcy od dnia jej wejścia w życie – aby zapewnić odpowiedni czas </w:t>
            </w:r>
            <w:r>
              <w:rPr>
                <w:rFonts w:cstheme="minorHAnsi"/>
                <w:b/>
              </w:rPr>
              <w:t>na uzupełnienie listy o dodatkowe informacje o</w:t>
            </w:r>
            <w:r w:rsidRPr="00DA270B">
              <w:rPr>
                <w:rFonts w:cstheme="minorHAnsi"/>
                <w:b/>
              </w:rPr>
              <w:t xml:space="preserve"> specjalizacji rzeczoznawcy oraz nazw</w:t>
            </w:r>
            <w:r>
              <w:rPr>
                <w:rFonts w:cstheme="minorHAnsi"/>
                <w:b/>
              </w:rPr>
              <w:t>y</w:t>
            </w:r>
            <w:r w:rsidRPr="00DA270B">
              <w:rPr>
                <w:rFonts w:cstheme="minorHAnsi"/>
                <w:b/>
              </w:rPr>
              <w:t xml:space="preserve"> jednostki akredytowanej, w której rzeczoznawca samochodowy uzyskał certyfikat.</w:t>
            </w:r>
          </w:p>
        </w:tc>
        <w:tc>
          <w:tcPr>
            <w:tcW w:w="3686" w:type="dxa"/>
          </w:tcPr>
          <w:p w14:paraId="129B6F8D" w14:textId="77777777" w:rsidR="00886B1B" w:rsidRDefault="00886B1B" w:rsidP="0042202B">
            <w:pPr>
              <w:ind w:right="766"/>
              <w:rPr>
                <w:rFonts w:cstheme="minorHAnsi"/>
                <w:b/>
              </w:rPr>
            </w:pPr>
            <w:r>
              <w:rPr>
                <w:rFonts w:cstheme="minorHAnsi"/>
                <w:b/>
              </w:rPr>
              <w:lastRenderedPageBreak/>
              <w:t xml:space="preserve">Brak udziału przedstawiciela RCL na konferencji – pismo RCL z dnia 26.04.26 </w:t>
            </w:r>
          </w:p>
          <w:p w14:paraId="10DFDBD6"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0BD199F2" w14:textId="77777777" w:rsidR="007B6387" w:rsidRDefault="007B6387" w:rsidP="0042202B">
            <w:pPr>
              <w:rPr>
                <w:rFonts w:cstheme="minorHAnsi"/>
                <w:b/>
              </w:rPr>
            </w:pPr>
          </w:p>
          <w:p w14:paraId="030B99E2"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4B764B16" w14:textId="770166CC" w:rsidR="007B6387" w:rsidRDefault="007B6387" w:rsidP="0042202B">
            <w:pPr>
              <w:rPr>
                <w:rFonts w:cstheme="minorHAnsi"/>
                <w:b/>
              </w:rPr>
            </w:pPr>
          </w:p>
        </w:tc>
      </w:tr>
      <w:tr w:rsidR="0059404D" w:rsidRPr="00F515D6" w14:paraId="004F5628" w14:textId="142B6B21" w:rsidTr="00D76FE7">
        <w:tc>
          <w:tcPr>
            <w:tcW w:w="562" w:type="dxa"/>
          </w:tcPr>
          <w:p w14:paraId="69570F1B" w14:textId="2706377C" w:rsidR="0059404D" w:rsidRPr="00CC2DAA" w:rsidRDefault="0059404D" w:rsidP="0042202B">
            <w:pPr>
              <w:rPr>
                <w:rFonts w:cstheme="minorHAnsi"/>
                <w:b/>
              </w:rPr>
            </w:pPr>
            <w:r w:rsidRPr="00CC2DAA">
              <w:rPr>
                <w:rFonts w:cstheme="minorHAnsi"/>
                <w:b/>
              </w:rPr>
              <w:lastRenderedPageBreak/>
              <w:t>27</w:t>
            </w:r>
          </w:p>
        </w:tc>
        <w:tc>
          <w:tcPr>
            <w:tcW w:w="993" w:type="dxa"/>
          </w:tcPr>
          <w:p w14:paraId="4BEB7C50" w14:textId="1D56C726" w:rsidR="0059404D" w:rsidRPr="00CC2DAA" w:rsidRDefault="0059404D" w:rsidP="0042202B">
            <w:pPr>
              <w:rPr>
                <w:rFonts w:cstheme="minorHAnsi"/>
                <w:b/>
              </w:rPr>
            </w:pPr>
            <w:r w:rsidRPr="00CC2DAA">
              <w:rPr>
                <w:rFonts w:cstheme="minorHAnsi"/>
                <w:b/>
              </w:rPr>
              <w:t>RCL</w:t>
            </w:r>
          </w:p>
        </w:tc>
        <w:tc>
          <w:tcPr>
            <w:tcW w:w="1701" w:type="dxa"/>
          </w:tcPr>
          <w:p w14:paraId="240CEC6B" w14:textId="436EF08C" w:rsidR="0059404D" w:rsidRPr="00CC2DAA" w:rsidRDefault="0059404D" w:rsidP="0042202B">
            <w:pPr>
              <w:rPr>
                <w:rFonts w:cstheme="minorHAnsi"/>
                <w:b/>
              </w:rPr>
            </w:pPr>
            <w:r w:rsidRPr="00CC2DAA">
              <w:rPr>
                <w:rFonts w:cstheme="minorHAnsi"/>
                <w:b/>
              </w:rPr>
              <w:t>Odnośnik nr 1 do tytułu ustawy</w:t>
            </w:r>
          </w:p>
        </w:tc>
        <w:tc>
          <w:tcPr>
            <w:tcW w:w="5953" w:type="dxa"/>
          </w:tcPr>
          <w:p w14:paraId="1BD2C080" w14:textId="77777777" w:rsidR="0059404D" w:rsidRPr="00CC2DAA" w:rsidRDefault="0059404D" w:rsidP="0042202B">
            <w:pPr>
              <w:widowControl w:val="0"/>
              <w:numPr>
                <w:ilvl w:val="0"/>
                <w:numId w:val="5"/>
              </w:numPr>
              <w:tabs>
                <w:tab w:val="left" w:pos="794"/>
              </w:tabs>
              <w:ind w:hanging="567"/>
              <w:rPr>
                <w:rFonts w:cstheme="minorHAnsi"/>
                <w:b/>
              </w:rPr>
            </w:pPr>
            <w:r w:rsidRPr="00CC2DAA">
              <w:rPr>
                <w:rFonts w:cstheme="minorHAnsi"/>
                <w:b/>
              </w:rPr>
              <w:t>Wyjaśnienia oraz uzupełnienia wymagają istniejące obecnie rozbieżności między informacjami podanymi w uzasadnieniu do projektu a regulacją zawartą w art. 1 pkt 1 projektu dotyczącą rozszerzenia odnośnika nr 1 do tytułu ustawy. Odnośnik do tytułu ustawy, informujący o stosowaniu przepisów prawa Unii Europejskiej, został rozszerzony o siedem nowych aktów prawnych Unii Europejskiej, natomiast w uzasadnieniu do projektu na str. 8 jest mowa o jednym rozporządzeniu Parlamentu Europejskiego i Rady. Analogiczna uwaga dotyczy uzupełnienia uzasadnienia w odniesieniu do odnośnika nr 1 do projektowanej ustawy.</w:t>
            </w:r>
          </w:p>
          <w:p w14:paraId="7F2FA6EB" w14:textId="77777777" w:rsidR="0059404D" w:rsidRPr="00CC2DAA" w:rsidRDefault="0059404D" w:rsidP="0042202B">
            <w:pPr>
              <w:rPr>
                <w:rFonts w:cstheme="minorHAnsi"/>
                <w:b/>
              </w:rPr>
            </w:pPr>
            <w:r w:rsidRPr="00CC2DAA">
              <w:rPr>
                <w:rFonts w:cstheme="minorHAnsi"/>
                <w:b/>
              </w:rPr>
              <w:t>Korekty wymaga również treść zawarta w projekcie oceny skutków regulacji dotycząca źródła, na podstawie którego przygotowany został projekt ustawy.</w:t>
            </w:r>
          </w:p>
          <w:p w14:paraId="1ED6992B" w14:textId="2A431364" w:rsidR="0059404D" w:rsidRPr="008164B6" w:rsidRDefault="0059404D" w:rsidP="0042202B">
            <w:pPr>
              <w:widowControl w:val="0"/>
              <w:numPr>
                <w:ilvl w:val="0"/>
                <w:numId w:val="5"/>
              </w:numPr>
              <w:tabs>
                <w:tab w:val="left" w:pos="794"/>
              </w:tabs>
              <w:ind w:hanging="567"/>
              <w:rPr>
                <w:rFonts w:cstheme="minorHAnsi"/>
                <w:b/>
              </w:rPr>
            </w:pPr>
            <w:r w:rsidRPr="00CC2DAA">
              <w:rPr>
                <w:rFonts w:cstheme="minorHAnsi"/>
                <w:b/>
              </w:rPr>
              <w:lastRenderedPageBreak/>
              <w:t>Należy uzupełnić uzasadnienie o szczegółowy opis wszystkich regulacji określonych w projekcie ustawy. Dotyczy to m.in. art. 1 pkt 13 projektu w zakresie opisu wszystkich przepisów dotyczących administracyjnych kar pieniężnych.</w:t>
            </w:r>
          </w:p>
        </w:tc>
        <w:tc>
          <w:tcPr>
            <w:tcW w:w="3827" w:type="dxa"/>
          </w:tcPr>
          <w:p w14:paraId="04763CA6" w14:textId="0BF5D2FD" w:rsidR="0059404D" w:rsidRPr="00CC2DAA" w:rsidRDefault="0059404D" w:rsidP="0042202B">
            <w:pPr>
              <w:rPr>
                <w:rFonts w:cstheme="minorHAnsi"/>
                <w:b/>
              </w:rPr>
            </w:pPr>
            <w:r w:rsidRPr="00CC2DAA">
              <w:rPr>
                <w:rFonts w:cstheme="minorHAnsi"/>
                <w:b/>
              </w:rPr>
              <w:lastRenderedPageBreak/>
              <w:t xml:space="preserve">W uzasadnieniu </w:t>
            </w:r>
            <w:r>
              <w:rPr>
                <w:rFonts w:cstheme="minorHAnsi"/>
                <w:b/>
              </w:rPr>
              <w:t>należy wkleić</w:t>
            </w:r>
            <w:r w:rsidRPr="00CC2DAA">
              <w:rPr>
                <w:rFonts w:cstheme="minorHAnsi"/>
                <w:b/>
              </w:rPr>
              <w:t xml:space="preserve"> akty prawne z odnośnika </w:t>
            </w:r>
            <w:r>
              <w:rPr>
                <w:rFonts w:cstheme="minorHAnsi"/>
                <w:b/>
              </w:rPr>
              <w:t xml:space="preserve">nr </w:t>
            </w:r>
            <w:r w:rsidRPr="00CC2DAA">
              <w:rPr>
                <w:rFonts w:cstheme="minorHAnsi"/>
                <w:b/>
              </w:rPr>
              <w:t>1 do tytułu ustawy.</w:t>
            </w:r>
            <w:r>
              <w:rPr>
                <w:rFonts w:cstheme="minorHAnsi"/>
                <w:b/>
              </w:rPr>
              <w:t xml:space="preserve"> Poprawiono OSR. </w:t>
            </w:r>
            <w:r w:rsidRPr="00CC2DAA">
              <w:rPr>
                <w:rFonts w:cstheme="minorHAnsi"/>
                <w:b/>
              </w:rPr>
              <w:t xml:space="preserve"> </w:t>
            </w:r>
          </w:p>
          <w:p w14:paraId="1584AB33" w14:textId="1DA87F3F" w:rsidR="0059404D" w:rsidRPr="00CC2DAA" w:rsidRDefault="0059404D" w:rsidP="0042202B">
            <w:pPr>
              <w:rPr>
                <w:rFonts w:cstheme="minorHAnsi"/>
                <w:b/>
              </w:rPr>
            </w:pPr>
          </w:p>
          <w:p w14:paraId="16F2EBDE" w14:textId="127E955D" w:rsidR="0059404D" w:rsidRPr="00CC2DAA" w:rsidRDefault="0059404D" w:rsidP="0042202B">
            <w:pPr>
              <w:rPr>
                <w:rFonts w:cstheme="minorHAnsi"/>
                <w:b/>
              </w:rPr>
            </w:pPr>
          </w:p>
        </w:tc>
        <w:tc>
          <w:tcPr>
            <w:tcW w:w="3686" w:type="dxa"/>
          </w:tcPr>
          <w:p w14:paraId="2CB56F5F"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7CAA0FB5"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0D480F22" w14:textId="77777777" w:rsidR="007B6387" w:rsidRDefault="007B6387" w:rsidP="0042202B">
            <w:pPr>
              <w:rPr>
                <w:rFonts w:cstheme="minorHAnsi"/>
                <w:b/>
              </w:rPr>
            </w:pPr>
          </w:p>
          <w:p w14:paraId="2079450C"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60B98630" w14:textId="2329950E" w:rsidR="007B6387" w:rsidRPr="00CC2DAA" w:rsidRDefault="007B6387" w:rsidP="0042202B">
            <w:pPr>
              <w:rPr>
                <w:rFonts w:cstheme="minorHAnsi"/>
                <w:b/>
              </w:rPr>
            </w:pPr>
          </w:p>
        </w:tc>
      </w:tr>
      <w:tr w:rsidR="0059404D" w:rsidRPr="00F515D6" w14:paraId="11BAA588" w14:textId="485DB7ED" w:rsidTr="00D76FE7">
        <w:trPr>
          <w:trHeight w:val="1356"/>
        </w:trPr>
        <w:tc>
          <w:tcPr>
            <w:tcW w:w="562" w:type="dxa"/>
          </w:tcPr>
          <w:p w14:paraId="7EA8D9F9" w14:textId="5E39F6E2" w:rsidR="0059404D" w:rsidRPr="008164B6" w:rsidRDefault="0059404D" w:rsidP="0042202B">
            <w:pPr>
              <w:rPr>
                <w:rFonts w:cstheme="minorHAnsi"/>
                <w:b/>
              </w:rPr>
            </w:pPr>
            <w:r w:rsidRPr="008164B6">
              <w:rPr>
                <w:rFonts w:cstheme="minorHAnsi"/>
                <w:b/>
              </w:rPr>
              <w:t>28</w:t>
            </w:r>
          </w:p>
        </w:tc>
        <w:tc>
          <w:tcPr>
            <w:tcW w:w="993" w:type="dxa"/>
          </w:tcPr>
          <w:p w14:paraId="2EBF346C" w14:textId="53226614" w:rsidR="0059404D" w:rsidRPr="008164B6" w:rsidRDefault="0059404D" w:rsidP="0042202B">
            <w:pPr>
              <w:rPr>
                <w:rFonts w:cstheme="minorHAnsi"/>
                <w:b/>
              </w:rPr>
            </w:pPr>
            <w:r w:rsidRPr="008164B6">
              <w:rPr>
                <w:rFonts w:cstheme="minorHAnsi"/>
                <w:b/>
              </w:rPr>
              <w:t>RCL</w:t>
            </w:r>
          </w:p>
        </w:tc>
        <w:tc>
          <w:tcPr>
            <w:tcW w:w="1701" w:type="dxa"/>
          </w:tcPr>
          <w:p w14:paraId="784AEAF9" w14:textId="2B2633DA" w:rsidR="0059404D" w:rsidRPr="008164B6" w:rsidRDefault="0059404D" w:rsidP="0042202B">
            <w:pPr>
              <w:rPr>
                <w:rFonts w:cstheme="minorHAnsi"/>
                <w:b/>
              </w:rPr>
            </w:pPr>
            <w:r w:rsidRPr="008164B6">
              <w:rPr>
                <w:rFonts w:cstheme="minorHAnsi"/>
                <w:b/>
              </w:rPr>
              <w:t>Uzasadnienie</w:t>
            </w:r>
          </w:p>
        </w:tc>
        <w:tc>
          <w:tcPr>
            <w:tcW w:w="5953" w:type="dxa"/>
          </w:tcPr>
          <w:p w14:paraId="6D254731" w14:textId="345AA663" w:rsidR="0059404D" w:rsidRPr="008164B6" w:rsidRDefault="0059404D" w:rsidP="0042202B">
            <w:pPr>
              <w:widowControl w:val="0"/>
              <w:numPr>
                <w:ilvl w:val="0"/>
                <w:numId w:val="5"/>
              </w:numPr>
              <w:tabs>
                <w:tab w:val="left" w:pos="794"/>
              </w:tabs>
              <w:ind w:hanging="567"/>
              <w:rPr>
                <w:rFonts w:cstheme="minorHAnsi"/>
                <w:b/>
              </w:rPr>
            </w:pPr>
            <w:r w:rsidRPr="008164B6">
              <w:rPr>
                <w:rFonts w:cstheme="minorHAnsi"/>
                <w:b/>
              </w:rPr>
              <w:t>Należy uzupełnić uzasadnienie o szczegółowy opis wszystkich regulacji określonych w projekcie ustawy. Dotyczy to m.in. art. 1 pkt 13 projektu w zakresie opisu wszystkich przepisów dotyczących administracyjnych kar pieniężnych.</w:t>
            </w:r>
          </w:p>
        </w:tc>
        <w:tc>
          <w:tcPr>
            <w:tcW w:w="3827" w:type="dxa"/>
          </w:tcPr>
          <w:p w14:paraId="02E855FA" w14:textId="6D625922" w:rsidR="0059404D" w:rsidRPr="007E2308" w:rsidRDefault="0059404D" w:rsidP="0042202B">
            <w:pPr>
              <w:rPr>
                <w:rFonts w:cstheme="minorHAnsi"/>
                <w:b/>
              </w:rPr>
            </w:pPr>
            <w:r w:rsidRPr="007E2308">
              <w:rPr>
                <w:rFonts w:cstheme="minorHAnsi"/>
                <w:b/>
              </w:rPr>
              <w:t xml:space="preserve">Uwaga do uwzględnienia w uzasadnieniu. </w:t>
            </w:r>
          </w:p>
          <w:p w14:paraId="2626F1E7" w14:textId="77777777" w:rsidR="0059404D" w:rsidRPr="007E2308" w:rsidRDefault="0059404D" w:rsidP="0042202B">
            <w:pPr>
              <w:rPr>
                <w:rFonts w:cstheme="minorHAnsi"/>
                <w:b/>
              </w:rPr>
            </w:pPr>
          </w:p>
          <w:p w14:paraId="05E68DF4" w14:textId="77777777" w:rsidR="0059404D" w:rsidRPr="007E2308" w:rsidRDefault="0059404D" w:rsidP="0042202B">
            <w:pPr>
              <w:rPr>
                <w:rFonts w:cstheme="minorHAnsi"/>
                <w:b/>
              </w:rPr>
            </w:pPr>
          </w:p>
          <w:p w14:paraId="554F8F0A" w14:textId="77777777" w:rsidR="0059404D" w:rsidRPr="007E2308" w:rsidRDefault="0059404D" w:rsidP="0042202B">
            <w:pPr>
              <w:rPr>
                <w:rFonts w:cstheme="minorHAnsi"/>
                <w:b/>
              </w:rPr>
            </w:pPr>
          </w:p>
          <w:p w14:paraId="788D1B86" w14:textId="77777777" w:rsidR="0059404D" w:rsidRPr="007E2308" w:rsidRDefault="0059404D" w:rsidP="0042202B">
            <w:pPr>
              <w:rPr>
                <w:rFonts w:cstheme="minorHAnsi"/>
                <w:b/>
              </w:rPr>
            </w:pPr>
          </w:p>
          <w:p w14:paraId="2730AF1D" w14:textId="1FB50B32" w:rsidR="0059404D" w:rsidRPr="007E2308" w:rsidRDefault="0059404D" w:rsidP="0042202B">
            <w:pPr>
              <w:rPr>
                <w:rFonts w:cstheme="minorHAnsi"/>
                <w:b/>
              </w:rPr>
            </w:pPr>
          </w:p>
        </w:tc>
        <w:tc>
          <w:tcPr>
            <w:tcW w:w="3686" w:type="dxa"/>
          </w:tcPr>
          <w:p w14:paraId="52A02CC9"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1D69BA41"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363DB967" w14:textId="77777777" w:rsidR="007B6387" w:rsidRDefault="007B6387" w:rsidP="0042202B">
            <w:pPr>
              <w:rPr>
                <w:rFonts w:cstheme="minorHAnsi"/>
                <w:b/>
              </w:rPr>
            </w:pPr>
          </w:p>
          <w:p w14:paraId="78FE80A7"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4E65ECCB" w14:textId="7C1B1691" w:rsidR="007B6387" w:rsidRPr="007E2308" w:rsidRDefault="007B6387" w:rsidP="0042202B">
            <w:pPr>
              <w:rPr>
                <w:rFonts w:cstheme="minorHAnsi"/>
                <w:b/>
              </w:rPr>
            </w:pPr>
          </w:p>
        </w:tc>
      </w:tr>
      <w:tr w:rsidR="0059404D" w:rsidRPr="00F515D6" w14:paraId="6424E9F6" w14:textId="3739FE97" w:rsidTr="00D76FE7">
        <w:tc>
          <w:tcPr>
            <w:tcW w:w="562" w:type="dxa"/>
          </w:tcPr>
          <w:p w14:paraId="406D1C83" w14:textId="7D95DC53" w:rsidR="0059404D" w:rsidRPr="00920358" w:rsidRDefault="0059404D" w:rsidP="0042202B">
            <w:pPr>
              <w:rPr>
                <w:rFonts w:cstheme="minorHAnsi"/>
                <w:b/>
              </w:rPr>
            </w:pPr>
            <w:r w:rsidRPr="00920358">
              <w:rPr>
                <w:rFonts w:cstheme="minorHAnsi"/>
                <w:b/>
              </w:rPr>
              <w:t>29</w:t>
            </w:r>
          </w:p>
        </w:tc>
        <w:tc>
          <w:tcPr>
            <w:tcW w:w="993" w:type="dxa"/>
          </w:tcPr>
          <w:p w14:paraId="34EB99B8" w14:textId="49FDA33E" w:rsidR="0059404D" w:rsidRPr="00920358" w:rsidRDefault="0059404D" w:rsidP="0042202B">
            <w:pPr>
              <w:rPr>
                <w:rFonts w:cstheme="minorHAnsi"/>
                <w:b/>
              </w:rPr>
            </w:pPr>
            <w:r w:rsidRPr="00920358">
              <w:rPr>
                <w:rFonts w:cstheme="minorHAnsi"/>
                <w:b/>
              </w:rPr>
              <w:t>RCL</w:t>
            </w:r>
          </w:p>
        </w:tc>
        <w:tc>
          <w:tcPr>
            <w:tcW w:w="1701" w:type="dxa"/>
          </w:tcPr>
          <w:p w14:paraId="4D74F04D" w14:textId="5EB73166" w:rsidR="0059404D" w:rsidRPr="00920358" w:rsidRDefault="0059404D" w:rsidP="0042202B">
            <w:pPr>
              <w:rPr>
                <w:rFonts w:cstheme="minorHAnsi"/>
                <w:b/>
              </w:rPr>
            </w:pPr>
            <w:r w:rsidRPr="00920358">
              <w:rPr>
                <w:rFonts w:cstheme="minorHAnsi"/>
                <w:b/>
              </w:rPr>
              <w:t>Upoważnienia ustawowe</w:t>
            </w:r>
          </w:p>
        </w:tc>
        <w:tc>
          <w:tcPr>
            <w:tcW w:w="5953" w:type="dxa"/>
          </w:tcPr>
          <w:p w14:paraId="1A338641" w14:textId="3F4AF949" w:rsidR="0059404D" w:rsidRPr="00920358" w:rsidRDefault="0059404D" w:rsidP="0042202B">
            <w:pPr>
              <w:autoSpaceDE w:val="0"/>
              <w:autoSpaceDN w:val="0"/>
              <w:adjustRightInd w:val="0"/>
              <w:rPr>
                <w:rFonts w:cstheme="minorHAnsi"/>
                <w:b/>
              </w:rPr>
            </w:pPr>
            <w:r w:rsidRPr="00920358">
              <w:rPr>
                <w:rFonts w:cstheme="minorHAnsi"/>
                <w:b/>
              </w:rPr>
              <w:t>Ocena poprawności sformułowania wszystkich upoważnień ustawowych oraz poprawności podziału regulowanej materii między ustawę a akt wykonawczy będzie mogła zostać dokonana na kolejnym etapie prac legislacyjnych po dołączeniu do projektu projektów aktów wykonawczych.</w:t>
            </w:r>
          </w:p>
        </w:tc>
        <w:tc>
          <w:tcPr>
            <w:tcW w:w="3827" w:type="dxa"/>
          </w:tcPr>
          <w:p w14:paraId="5CDB4CFA" w14:textId="70EC559D" w:rsidR="0059404D" w:rsidRPr="00920358" w:rsidRDefault="0059404D" w:rsidP="0042202B">
            <w:pPr>
              <w:rPr>
                <w:rFonts w:cstheme="minorHAnsi"/>
                <w:b/>
              </w:rPr>
            </w:pPr>
            <w:r w:rsidRPr="00920358">
              <w:rPr>
                <w:rFonts w:cstheme="minorHAnsi"/>
                <w:b/>
              </w:rPr>
              <w:t>Przyjmujemy do wiadomości informację</w:t>
            </w:r>
            <w:r>
              <w:rPr>
                <w:rFonts w:cstheme="minorHAnsi"/>
                <w:b/>
              </w:rPr>
              <w:t>.</w:t>
            </w:r>
          </w:p>
        </w:tc>
        <w:tc>
          <w:tcPr>
            <w:tcW w:w="3686" w:type="dxa"/>
          </w:tcPr>
          <w:p w14:paraId="52C68054" w14:textId="77777777" w:rsidR="00886B1B" w:rsidRDefault="00886B1B" w:rsidP="0042202B">
            <w:pPr>
              <w:ind w:right="766"/>
              <w:rPr>
                <w:rFonts w:cstheme="minorHAnsi"/>
                <w:b/>
              </w:rPr>
            </w:pPr>
            <w:r>
              <w:rPr>
                <w:rFonts w:cstheme="minorHAnsi"/>
                <w:b/>
              </w:rPr>
              <w:t xml:space="preserve">Brak udziału przedstawiciela RCL na konferencji – pismo RCL z dnia 26.04.26 </w:t>
            </w:r>
          </w:p>
          <w:p w14:paraId="7EE7A557" w14:textId="77777777" w:rsidR="0059404D" w:rsidRDefault="00886B1B" w:rsidP="0042202B">
            <w:pPr>
              <w:rPr>
                <w:rFonts w:cstheme="minorHAnsi"/>
                <w:b/>
              </w:rPr>
            </w:pPr>
            <w:r>
              <w:rPr>
                <w:rFonts w:cstheme="minorHAnsi"/>
                <w:b/>
              </w:rPr>
              <w:t xml:space="preserve">nr </w:t>
            </w:r>
            <w:r w:rsidRPr="00886B1B">
              <w:rPr>
                <w:rFonts w:cstheme="minorHAnsi"/>
                <w:b/>
              </w:rPr>
              <w:t>RCL.DPŚI.550.20.2025</w:t>
            </w:r>
          </w:p>
          <w:p w14:paraId="16CDB053" w14:textId="77777777" w:rsidR="007B6387" w:rsidRDefault="007B6387" w:rsidP="0042202B">
            <w:pPr>
              <w:rPr>
                <w:rFonts w:cstheme="minorHAnsi"/>
                <w:b/>
              </w:rPr>
            </w:pPr>
          </w:p>
          <w:p w14:paraId="6BF20D42" w14:textId="77777777" w:rsidR="007B6387" w:rsidRDefault="007B6387" w:rsidP="0042202B">
            <w:pPr>
              <w:rPr>
                <w:rFonts w:cstheme="minorHAnsi"/>
                <w:b/>
              </w:rPr>
            </w:pPr>
            <w:r>
              <w:rPr>
                <w:rFonts w:cstheme="minorHAnsi"/>
                <w:b/>
                <w:color w:val="0070C0"/>
                <w:u w:val="single"/>
              </w:rPr>
              <w:t xml:space="preserve">Analogicznie </w:t>
            </w:r>
            <w:r w:rsidRPr="007B6387">
              <w:rPr>
                <w:rFonts w:cstheme="minorHAnsi"/>
                <w:b/>
                <w:color w:val="0070C0"/>
                <w:u w:val="single"/>
              </w:rPr>
              <w:t>pkt 1</w:t>
            </w:r>
          </w:p>
          <w:p w14:paraId="46E8AE56" w14:textId="17BF091F" w:rsidR="007B6387" w:rsidRPr="00920358" w:rsidRDefault="007B6387" w:rsidP="0042202B">
            <w:pPr>
              <w:rPr>
                <w:rFonts w:cstheme="minorHAnsi"/>
                <w:b/>
              </w:rPr>
            </w:pPr>
          </w:p>
        </w:tc>
      </w:tr>
      <w:tr w:rsidR="0059404D" w:rsidRPr="00F515D6" w14:paraId="27D19DF6" w14:textId="6774FE05" w:rsidTr="00D76FE7">
        <w:tc>
          <w:tcPr>
            <w:tcW w:w="562" w:type="dxa"/>
          </w:tcPr>
          <w:p w14:paraId="743719D4" w14:textId="3ABABCFA" w:rsidR="0059404D" w:rsidRPr="009A0184" w:rsidRDefault="0059404D" w:rsidP="0042202B">
            <w:pPr>
              <w:rPr>
                <w:rFonts w:cstheme="minorHAnsi"/>
                <w:b/>
              </w:rPr>
            </w:pPr>
            <w:r w:rsidRPr="009A0184">
              <w:rPr>
                <w:rFonts w:cstheme="minorHAnsi"/>
                <w:b/>
              </w:rPr>
              <w:t>30</w:t>
            </w:r>
          </w:p>
        </w:tc>
        <w:tc>
          <w:tcPr>
            <w:tcW w:w="993" w:type="dxa"/>
          </w:tcPr>
          <w:p w14:paraId="30BD83F2" w14:textId="63FC4E0C" w:rsidR="0059404D" w:rsidRDefault="0059404D" w:rsidP="0042202B">
            <w:pPr>
              <w:rPr>
                <w:rFonts w:cstheme="minorHAnsi"/>
                <w:b/>
              </w:rPr>
            </w:pPr>
            <w:r w:rsidRPr="009A0184">
              <w:rPr>
                <w:rFonts w:cstheme="minorHAnsi"/>
                <w:b/>
              </w:rPr>
              <w:t>MNiSW</w:t>
            </w:r>
          </w:p>
          <w:p w14:paraId="0ED1B1F1" w14:textId="77777777" w:rsidR="0059404D" w:rsidRDefault="0059404D" w:rsidP="0042202B">
            <w:pPr>
              <w:rPr>
                <w:rFonts w:cstheme="minorHAnsi"/>
                <w:b/>
                <w:color w:val="00B050"/>
              </w:rPr>
            </w:pPr>
            <w:r>
              <w:rPr>
                <w:rFonts w:cstheme="minorHAnsi"/>
                <w:b/>
                <w:color w:val="00B050"/>
              </w:rPr>
              <w:t>+ uwaga 40 MFiG</w:t>
            </w:r>
          </w:p>
          <w:p w14:paraId="67412C51" w14:textId="0D36EA93" w:rsidR="0059404D" w:rsidRDefault="0059404D" w:rsidP="0042202B">
            <w:pPr>
              <w:rPr>
                <w:rFonts w:cstheme="minorHAnsi"/>
                <w:b/>
                <w:color w:val="00B050"/>
              </w:rPr>
            </w:pPr>
            <w:r>
              <w:rPr>
                <w:rFonts w:cstheme="minorHAnsi"/>
                <w:b/>
                <w:color w:val="00B050"/>
              </w:rPr>
              <w:t xml:space="preserve"> </w:t>
            </w:r>
          </w:p>
          <w:p w14:paraId="190BD02C" w14:textId="1393FEC3" w:rsidR="0059404D" w:rsidRPr="00CB4167" w:rsidRDefault="0059404D" w:rsidP="0042202B">
            <w:pPr>
              <w:rPr>
                <w:rFonts w:cstheme="minorHAnsi"/>
                <w:b/>
                <w:color w:val="00B050"/>
              </w:rPr>
            </w:pPr>
            <w:r>
              <w:rPr>
                <w:rFonts w:cstheme="minorHAnsi"/>
                <w:b/>
                <w:color w:val="00B050"/>
              </w:rPr>
              <w:t>+ uwaga 124-125 MSZ</w:t>
            </w:r>
          </w:p>
          <w:p w14:paraId="00E6D6A0" w14:textId="7DFB6779" w:rsidR="0059404D" w:rsidRPr="009A0184" w:rsidRDefault="0059404D" w:rsidP="0042202B">
            <w:pPr>
              <w:rPr>
                <w:rFonts w:cstheme="minorHAnsi"/>
                <w:b/>
              </w:rPr>
            </w:pPr>
          </w:p>
        </w:tc>
        <w:tc>
          <w:tcPr>
            <w:tcW w:w="1701" w:type="dxa"/>
          </w:tcPr>
          <w:p w14:paraId="32C46E4D" w14:textId="155F4E01" w:rsidR="0059404D" w:rsidRPr="009A0184" w:rsidRDefault="0059404D" w:rsidP="0042202B">
            <w:pPr>
              <w:rPr>
                <w:rFonts w:cstheme="minorHAnsi"/>
                <w:b/>
              </w:rPr>
            </w:pPr>
            <w:r w:rsidRPr="009A0184">
              <w:rPr>
                <w:rFonts w:cstheme="minorHAnsi"/>
                <w:b/>
              </w:rPr>
              <w:t>Art. 68l UH</w:t>
            </w:r>
          </w:p>
        </w:tc>
        <w:tc>
          <w:tcPr>
            <w:tcW w:w="5953" w:type="dxa"/>
          </w:tcPr>
          <w:p w14:paraId="6CBC01AE" w14:textId="171438AA" w:rsidR="0059404D" w:rsidRPr="009A0184" w:rsidRDefault="0059404D" w:rsidP="0042202B">
            <w:pPr>
              <w:autoSpaceDE w:val="0"/>
              <w:autoSpaceDN w:val="0"/>
              <w:adjustRightInd w:val="0"/>
              <w:rPr>
                <w:rFonts w:cstheme="minorHAnsi"/>
                <w:b/>
              </w:rPr>
            </w:pPr>
            <w:r w:rsidRPr="009A0184">
              <w:rPr>
                <w:rFonts w:cstheme="minorHAnsi"/>
                <w:b/>
              </w:rPr>
              <w:t xml:space="preserve">Każda zmiana w dostępie do zawodu regulowanego wymaga oceny zgodności przepisów regulacyjnych z zasadami proporcjonalności, uzasadnionego i niedyskryminującego charakteru oraz przedstawienia powodów i skutków projektowanych regulacji zgodnie z przepisami rozdziału 6a ustawy z dnia 22 grudnia 2015 r. </w:t>
            </w:r>
            <w:r w:rsidRPr="009A0184">
              <w:rPr>
                <w:rFonts w:cstheme="minorHAnsi"/>
                <w:b/>
                <w:i/>
                <w:iCs/>
              </w:rPr>
              <w:t xml:space="preserve">o zasadach uznawania kwalifikacji zawodowych nabytych w państwach członkowskich Unii Europejskiej </w:t>
            </w:r>
            <w:r w:rsidRPr="009A0184">
              <w:rPr>
                <w:rFonts w:cstheme="minorHAnsi"/>
                <w:b/>
              </w:rPr>
              <w:t>(Dz. U. z 2023 r. poz. 334</w:t>
            </w:r>
            <w:r w:rsidRPr="009A0184">
              <w:rPr>
                <w:rFonts w:cstheme="minorHAnsi"/>
                <w:b/>
                <w:i/>
                <w:iCs/>
              </w:rPr>
              <w:t xml:space="preserve"> </w:t>
            </w:r>
            <w:r w:rsidRPr="009A0184">
              <w:rPr>
                <w:rFonts w:cstheme="minorHAnsi"/>
                <w:b/>
              </w:rPr>
              <w:t>oraz z 2025 r. poz. 619), zwanej dalej „ustawą”, która wdrożyła przepisy dyrektywy</w:t>
            </w:r>
            <w:r w:rsidRPr="009A0184">
              <w:rPr>
                <w:rFonts w:cstheme="minorHAnsi"/>
                <w:b/>
                <w:i/>
                <w:iCs/>
              </w:rPr>
              <w:t xml:space="preserve"> </w:t>
            </w:r>
            <w:r w:rsidRPr="009A0184">
              <w:rPr>
                <w:rFonts w:cstheme="minorHAnsi"/>
                <w:b/>
              </w:rPr>
              <w:t xml:space="preserve">Parlamentu Europejskiego i Rady (UE) 2018/958 z dnia 28 czerwca 2018 r. </w:t>
            </w:r>
            <w:r w:rsidRPr="009A0184">
              <w:rPr>
                <w:rFonts w:cstheme="minorHAnsi"/>
                <w:b/>
                <w:i/>
                <w:iCs/>
              </w:rPr>
              <w:t>w sprawie analizy</w:t>
            </w:r>
            <w:r w:rsidRPr="009A0184">
              <w:rPr>
                <w:rFonts w:cstheme="minorHAnsi"/>
                <w:b/>
              </w:rPr>
              <w:t xml:space="preserve"> </w:t>
            </w:r>
            <w:r w:rsidRPr="009A0184">
              <w:rPr>
                <w:rFonts w:cstheme="minorHAnsi"/>
                <w:b/>
                <w:i/>
                <w:iCs/>
              </w:rPr>
              <w:lastRenderedPageBreak/>
              <w:t xml:space="preserve">proporcjonalności przed przyjęciem nowych regulacji dotyczących zawodów </w:t>
            </w:r>
            <w:r w:rsidRPr="009A0184">
              <w:rPr>
                <w:rFonts w:cstheme="minorHAnsi"/>
                <w:b/>
              </w:rPr>
              <w:t>(Dz. Urz. UE L 173 z 09.07.2018, str. 25).</w:t>
            </w:r>
          </w:p>
          <w:p w14:paraId="1AAF6FE9" w14:textId="5E4B10FB" w:rsidR="0059404D" w:rsidRPr="009A0184" w:rsidRDefault="0059404D" w:rsidP="0042202B">
            <w:pPr>
              <w:autoSpaceDE w:val="0"/>
              <w:autoSpaceDN w:val="0"/>
              <w:adjustRightInd w:val="0"/>
              <w:rPr>
                <w:rFonts w:cstheme="minorHAnsi"/>
                <w:b/>
              </w:rPr>
            </w:pPr>
            <w:r w:rsidRPr="009A0184">
              <w:rPr>
                <w:rFonts w:cstheme="minorHAnsi"/>
                <w:b/>
              </w:rPr>
              <w:t>W myśl art. 50f ustawy powody uznania projektowanych przepisów regulacyjnych za zgodne z zasadami proporcjonalności, uzasadnionego i niedyskryminującego charakteru przedstawia się w sposób szczegółowy, umożliwiający weryfikację zgodności tych przepisów z wymienionymi zasadami, w uzasadnieniu projektu aktu prawnego albo w załączniku do oceny skutków regulacji, stanowiącej odrębną część uzasadnienia projektu aktu.</w:t>
            </w:r>
          </w:p>
          <w:p w14:paraId="4FDF892F" w14:textId="798EA9A8" w:rsidR="0059404D" w:rsidRPr="009A0184" w:rsidRDefault="0059404D" w:rsidP="0042202B">
            <w:pPr>
              <w:autoSpaceDE w:val="0"/>
              <w:autoSpaceDN w:val="0"/>
              <w:adjustRightInd w:val="0"/>
              <w:rPr>
                <w:rFonts w:cstheme="minorHAnsi"/>
                <w:b/>
              </w:rPr>
            </w:pPr>
            <w:r w:rsidRPr="009A0184">
              <w:rPr>
                <w:rFonts w:cstheme="minorHAnsi"/>
                <w:b/>
              </w:rPr>
              <w:t>Zgodność z zasadą proporcjonalności i zasadą uzasadnionego charakteru potwierdzają w szczególności wzięte pod uwagę dane jakościowe, a w miarę możliwości także dane ilościowe.</w:t>
            </w:r>
          </w:p>
          <w:p w14:paraId="473A40F5" w14:textId="4337E5CD" w:rsidR="0059404D" w:rsidRPr="009A0184" w:rsidRDefault="0059404D" w:rsidP="0042202B">
            <w:pPr>
              <w:autoSpaceDE w:val="0"/>
              <w:autoSpaceDN w:val="0"/>
              <w:adjustRightInd w:val="0"/>
              <w:rPr>
                <w:rFonts w:cstheme="minorHAnsi"/>
                <w:b/>
              </w:rPr>
            </w:pPr>
            <w:r w:rsidRPr="009A0184">
              <w:rPr>
                <w:rFonts w:cstheme="minorHAnsi"/>
                <w:b/>
              </w:rPr>
              <w:t>W świetle powyższego w odniesieniu do projektowanej regulacji należy stosownie uzupełnić treść uzasadnienia albo dołączyć załącznik do oceny skutków regulacji projektowanej ustawy, w którym zostaną omówione wyniki przeprowadzonej oceny projektowanych przepisów regulacyjnych we wskazanym wyżej zakresie.</w:t>
            </w:r>
            <w:r>
              <w:rPr>
                <w:rFonts w:cstheme="minorHAnsi"/>
                <w:b/>
              </w:rPr>
              <w:t xml:space="preserve"> </w:t>
            </w:r>
            <w:r w:rsidRPr="009A0184">
              <w:rPr>
                <w:rFonts w:cstheme="minorHAnsi"/>
                <w:b/>
              </w:rPr>
              <w:t>Szczegółową analizę projektowanych przepisów regulacyjnych należy przeprowadzić w oparciu o kryteria określone w art. 50b ustawy. W ocenie należy też odnieść się do niedyskryminującego charakteru projektowanych wymogów ze względu na przynależność państwową lub miejsce zamieszkania (art. 50d ustawy) oraz do uzasadnienia projektowanych wymogów ze względu na cele służące interesowi publicznemu (art. 50c ustawy).</w:t>
            </w:r>
            <w:r>
              <w:rPr>
                <w:rFonts w:cstheme="minorHAnsi"/>
                <w:b/>
              </w:rPr>
              <w:t xml:space="preserve"> </w:t>
            </w:r>
            <w:r w:rsidRPr="009A0184">
              <w:rPr>
                <w:rFonts w:cstheme="minorHAnsi"/>
                <w:b/>
              </w:rPr>
              <w:t xml:space="preserve">Przeprowadzając ocenę, bierze się pod uwagę ryzyko dla celu służącego interesowi publicznemu związane z brakiem regulacji </w:t>
            </w:r>
            <w:r w:rsidRPr="009A0184">
              <w:rPr>
                <w:rFonts w:cstheme="minorHAnsi"/>
                <w:b/>
              </w:rPr>
              <w:lastRenderedPageBreak/>
              <w:t>przewidzianej przepisami regulacyjnymi, w szczególności ryzyko ponoszone przez usługobiorców, w tym konsumentów, osoby wykonujące zawody regulowane lub osoby trzecie (art. 50b ust. 3 pkt 1 ustawy).</w:t>
            </w:r>
            <w:r>
              <w:rPr>
                <w:rFonts w:cstheme="minorHAnsi"/>
                <w:b/>
              </w:rPr>
              <w:t xml:space="preserve"> </w:t>
            </w:r>
            <w:r w:rsidRPr="009A0184">
              <w:rPr>
                <w:rFonts w:cstheme="minorHAnsi"/>
                <w:b/>
              </w:rPr>
              <w:t xml:space="preserve">Ponadto należy ocenić możliwość osiągnięcia założonego celu na podstawie obowiązujących przepisów (art. 50b ust. 3 pkt 2 ustawy), w szczególności zbadać, czy obowiązują już inne regulacje, które chronią daną grupę odbiorców. </w:t>
            </w:r>
            <w:r>
              <w:rPr>
                <w:rFonts w:cstheme="minorHAnsi"/>
                <w:b/>
              </w:rPr>
              <w:t xml:space="preserve"> </w:t>
            </w:r>
            <w:r w:rsidRPr="009A0184">
              <w:rPr>
                <w:rFonts w:cstheme="minorHAnsi"/>
                <w:b/>
              </w:rPr>
              <w:t>Jeżeli nie, to należy przedstawić, w jaki sposób projektowane regulacje przyczynią się do tego. Podmiot opracowujący przepisy regulacyjne ocenia również, czy są one adekwatne do założonego celu oraz czy przewidują spójny i systematyczny sposób osiągnięcia tego celu, oraz czy przewidują podjęcie działań mających na celu wyeliminowanie zidentyfikowanych rodzajów ryzyka w podobny sposób, jak w przypadku porównywalnych czynności (art. 50b ust. 3 pkt 3 ustawy). Należy ocenić więc, jaki jest cel regulacji i czy projektowane regulacje są niezbędne do osiągnięcia założonego celu. Jeżeli to samo ryzyko jest tolerowane w jednej dziedzinie/w jednym zawodzie, gdzie nie ma regulacji, a w innej/innym jest powodem regulacji, kryterium spójności nie będzie zachowane. Ponadto należy wyjaśnić, kogo przepis ma chronić, podając przykłady występującego ryzyka oraz w jaki sposób ryzyko to powinno zostać wyeliminowane.</w:t>
            </w:r>
            <w:r>
              <w:rPr>
                <w:rFonts w:cstheme="minorHAnsi"/>
                <w:b/>
              </w:rPr>
              <w:t xml:space="preserve"> </w:t>
            </w:r>
            <w:r w:rsidRPr="009A0184">
              <w:rPr>
                <w:rFonts w:cstheme="minorHAnsi"/>
                <w:b/>
              </w:rPr>
              <w:t xml:space="preserve">Ocenie podlega również wpływ przepisów regulacyjnych na swobodny przepływ osób i usług w Unii Europejskiej (art. 50b ust. 3 pkt 4 lit. a ustawy) oraz wybór konsumentów i jakość świadczonych usług (art. 50b ust. 3 pkt 4 lit. b ustawy). </w:t>
            </w:r>
            <w:r>
              <w:rPr>
                <w:rFonts w:cstheme="minorHAnsi"/>
                <w:b/>
              </w:rPr>
              <w:t xml:space="preserve"> </w:t>
            </w:r>
            <w:r w:rsidRPr="009A0184">
              <w:rPr>
                <w:rFonts w:cstheme="minorHAnsi"/>
                <w:b/>
              </w:rPr>
              <w:t xml:space="preserve">Należy przeanalizować, czy osoby z innych państw członkowskich Unii Europejskiej, które posiadają wymagane przygotowanie </w:t>
            </w:r>
            <w:r w:rsidRPr="009A0184">
              <w:rPr>
                <w:rFonts w:cstheme="minorHAnsi"/>
                <w:b/>
              </w:rPr>
              <w:lastRenderedPageBreak/>
              <w:t>zawodowe i doświadczenie, będą mogły wykonywać ten zawód oraz czy obowiązująca regulacja podniesie jakość świadczonych usług.</w:t>
            </w:r>
            <w:r>
              <w:rPr>
                <w:rFonts w:cstheme="minorHAnsi"/>
                <w:b/>
              </w:rPr>
              <w:t xml:space="preserve"> </w:t>
            </w:r>
            <w:r w:rsidRPr="009A0184">
              <w:rPr>
                <w:rFonts w:cstheme="minorHAnsi"/>
                <w:b/>
              </w:rPr>
              <w:t>Przy ocenie proporcjonalności istotne jest również przeanalizowanie, czy istnieje możliwość zastosowania mniej restrykcyjnych środków dla osiągnięcia celu służącego interesowi publicznemu (art. 50b ust. ust. 3 pkt 5 ustawy). Jeżeli nie, wówczas należy uzasadnić, dlaczego nie istnieje możliwość zmniejszenia projektowanych wymagań czy zniesienia regulacji.</w:t>
            </w:r>
            <w:r>
              <w:rPr>
                <w:rFonts w:cstheme="minorHAnsi"/>
                <w:b/>
              </w:rPr>
              <w:t xml:space="preserve"> </w:t>
            </w:r>
            <w:r w:rsidRPr="009A0184">
              <w:rPr>
                <w:rFonts w:cstheme="minorHAnsi"/>
                <w:b/>
              </w:rPr>
              <w:t xml:space="preserve">Ponadto należy wziąć pod uwagę skutki projektowanych przepisów regulacyjnych w związku z innymi przepisami regulacyjnymi oraz sposób, w jaki projektowane przepisy regulacyjne w związku z innymi przepisami regulacyjnymi przyczynią się do osiągnięcia założonego celu interesu publicznego, a także czy są niezbędne do osiągnięcia tego celu (art. 50b ust. 2 pkt 6 ustawy). </w:t>
            </w:r>
            <w:r>
              <w:rPr>
                <w:rFonts w:cstheme="minorHAnsi"/>
                <w:b/>
              </w:rPr>
              <w:t xml:space="preserve"> </w:t>
            </w:r>
            <w:r w:rsidRPr="009A0184">
              <w:rPr>
                <w:rFonts w:cstheme="minorHAnsi"/>
                <w:b/>
              </w:rPr>
              <w:t>Należałoby podać przykłady takich skutków dla odbiorców.</w:t>
            </w:r>
            <w:r>
              <w:rPr>
                <w:rFonts w:cstheme="minorHAnsi"/>
                <w:b/>
              </w:rPr>
              <w:t xml:space="preserve"> </w:t>
            </w:r>
            <w:r w:rsidRPr="009A0184">
              <w:rPr>
                <w:rFonts w:cstheme="minorHAnsi"/>
                <w:b/>
              </w:rPr>
              <w:t>W ramach oceny określonej w art. 50b ust. 3 pkt 6 ustawy należy uwzględnić te wymogi, które występują w obowiązujących przepisach regulacyjnych (art. 50b ust. 5 ustawy) – należy mieć na uwadze, że mogą one być zarówno pozytywne, jak i negatywne. Dodatkowo w ramach oceny należy wziąć pod uwagę stosownie do charakteru lub treści przepisów – wymogi określone w art. 50b ust. 6 ustawy.</w:t>
            </w:r>
            <w:r>
              <w:rPr>
                <w:rFonts w:cstheme="minorHAnsi"/>
                <w:b/>
              </w:rPr>
              <w:t xml:space="preserve"> </w:t>
            </w:r>
            <w:r w:rsidRPr="009A0184">
              <w:rPr>
                <w:rFonts w:cstheme="minorHAnsi"/>
                <w:b/>
              </w:rPr>
              <w:t>W odniesieniu do art. 50c ustawy należy dowieść, że projektowane przepisy regulacyjne są zgodne z zasadą uzasadnionego charakteru. Dokonując oceny, należy przedstawić cele wprowadzenia przepisów regulacyjnych, które służą interesowi publicznemu, w szczególności względom porządku publicznego, bezpieczeństwa publicznego lub zdrowia publicznego lub są uzasadnione nadrzędnym interesem publicznym, o którym mowa w art. 3 pkt 3 ustawy z dnia 6 marca 2018 r. o zasadach uczestnictwa przedsiębiorców zagranicznych innych osób zagranicznych w obrocie gospodarczym na terytorium Rzeczypospolitej Polskiej (Dz. U. z 2025 r. poz. 89, 619 i 621).</w:t>
            </w:r>
            <w:r>
              <w:rPr>
                <w:rFonts w:cstheme="minorHAnsi"/>
                <w:b/>
              </w:rPr>
              <w:t xml:space="preserve"> </w:t>
            </w:r>
            <w:r w:rsidRPr="009A0184">
              <w:rPr>
                <w:rFonts w:cstheme="minorHAnsi"/>
                <w:b/>
              </w:rPr>
              <w:t>Zgodnie z art. 50d ustawy wymóg zgodności projektowanych przepisów regulacyjnych z zasadą niedyskryminującego charakteru będzie spełniony, jeżeli wykaże się, że wprowadzone przepisy regulacyjne nie są bezpośrednio albo pośrednio dyskryminujące ze względu na przynależność państwową lub miejsce zamieszkania. Przykładowo należy rozważyć, czy osoby, które uzyskały kwalifikacje zawodowe w zawodzie diagnosty w innych niż Polska państwach członkowskich Unii Europejskiej (dotyczy także EOG i Szwajcarii), po zmianach zaproponowanych w projekcie będą mogły wykonywać ten zawód w Polsce.</w:t>
            </w:r>
          </w:p>
        </w:tc>
        <w:tc>
          <w:tcPr>
            <w:tcW w:w="3827" w:type="dxa"/>
          </w:tcPr>
          <w:p w14:paraId="015BDE79" w14:textId="4C5542F2" w:rsidR="0059404D" w:rsidRDefault="0059404D" w:rsidP="0042202B">
            <w:pPr>
              <w:rPr>
                <w:rFonts w:cstheme="minorHAnsi"/>
                <w:b/>
              </w:rPr>
            </w:pPr>
            <w:r w:rsidRPr="009A0184">
              <w:rPr>
                <w:rFonts w:cstheme="minorHAnsi"/>
                <w:b/>
              </w:rPr>
              <w:lastRenderedPageBreak/>
              <w:t xml:space="preserve">Uwaga nie ma </w:t>
            </w:r>
            <w:r>
              <w:rPr>
                <w:rFonts w:cstheme="minorHAnsi"/>
                <w:b/>
              </w:rPr>
              <w:t xml:space="preserve">już </w:t>
            </w:r>
            <w:r w:rsidRPr="009A0184">
              <w:rPr>
                <w:rFonts w:cstheme="minorHAnsi"/>
                <w:b/>
              </w:rPr>
              <w:t xml:space="preserve">zastosowania wobec wprowadzonej w toku konsultacji publicznych ze środowiskiem zmiany w UC95 poprzez wprowadzenie   fakultatywności procedury dopuszczenia indywidualnego realizowanego przez uprawnionego diagnostę w stacji kontroli pojazdów. Zatem to przedsiębiorca prowadzący działalność gospodarczą w zakresie stacji kontroli pojazdów oraz </w:t>
            </w:r>
            <w:r w:rsidRPr="009A0184">
              <w:rPr>
                <w:rFonts w:cstheme="minorHAnsi"/>
                <w:b/>
              </w:rPr>
              <w:lastRenderedPageBreak/>
              <w:t>zatrudniony przez niego diagnosta mogą zgłosić zainteresowanie realizacją tej procedury w stacji, ale nie będzie nałożony na nich obligatoryjny obowiązek jej przeprowadzania</w:t>
            </w:r>
            <w:r>
              <w:rPr>
                <w:rFonts w:cstheme="minorHAnsi"/>
                <w:b/>
              </w:rPr>
              <w:t xml:space="preserve">, co nie spowoduje zmiany w dostępie do zawodu regulowanego, jakim jest zawód diagnosty. </w:t>
            </w:r>
          </w:p>
          <w:p w14:paraId="0F3DFFC4" w14:textId="77777777" w:rsidR="0059404D" w:rsidRDefault="0059404D" w:rsidP="0042202B">
            <w:pPr>
              <w:rPr>
                <w:rFonts w:cstheme="minorHAnsi"/>
                <w:b/>
              </w:rPr>
            </w:pPr>
          </w:p>
          <w:p w14:paraId="5889CCC1" w14:textId="4A11F538" w:rsidR="0059404D" w:rsidRPr="00A258B6"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A258B6">
              <w:rPr>
                <w:rFonts w:asciiTheme="minorHAnsi" w:eastAsiaTheme="minorHAnsi" w:hAnsiTheme="minorHAnsi" w:cstheme="minorHAnsi"/>
                <w:b/>
                <w:i/>
                <w:sz w:val="22"/>
                <w:szCs w:val="22"/>
                <w:lang w:eastAsia="en-US"/>
              </w:rPr>
              <w:t>„Art. 68g. 1. Procedura krajowego indywidualnego dopuszczenia pojazdu niebędącego nowym pojazdem jest realizowana przez uprawnionego diagnostę, który:</w:t>
            </w:r>
          </w:p>
          <w:p w14:paraId="3980FE0D" w14:textId="77777777" w:rsidR="0059404D" w:rsidRPr="00A258B6" w:rsidRDefault="0059404D" w:rsidP="0042202B">
            <w:pPr>
              <w:pStyle w:val="ZARTzmartartykuempunktem"/>
              <w:numPr>
                <w:ilvl w:val="0"/>
                <w:numId w:val="16"/>
              </w:numPr>
              <w:spacing w:line="240" w:lineRule="auto"/>
              <w:ind w:left="738" w:hanging="425"/>
              <w:jc w:val="left"/>
              <w:rPr>
                <w:rFonts w:asciiTheme="minorHAnsi" w:eastAsiaTheme="minorHAnsi" w:hAnsiTheme="minorHAnsi" w:cstheme="minorHAnsi"/>
                <w:b/>
                <w:i/>
                <w:sz w:val="22"/>
                <w:szCs w:val="22"/>
                <w:lang w:eastAsia="en-US"/>
              </w:rPr>
            </w:pPr>
            <w:r w:rsidRPr="00A258B6">
              <w:rPr>
                <w:rFonts w:asciiTheme="minorHAnsi" w:eastAsiaTheme="minorHAnsi" w:hAnsiTheme="minorHAnsi" w:cstheme="minorHAnsi"/>
                <w:b/>
                <w:i/>
                <w:sz w:val="22"/>
                <w:szCs w:val="22"/>
                <w:lang w:eastAsia="en-US"/>
              </w:rPr>
              <w:t>posiada zaświadczenie kwalifikacyjne;</w:t>
            </w:r>
          </w:p>
          <w:p w14:paraId="19331631" w14:textId="77777777" w:rsidR="0059404D" w:rsidRDefault="0059404D" w:rsidP="0042202B">
            <w:pPr>
              <w:pStyle w:val="ZARTzmartartykuempunktem"/>
              <w:numPr>
                <w:ilvl w:val="0"/>
                <w:numId w:val="16"/>
              </w:numPr>
              <w:spacing w:line="240" w:lineRule="auto"/>
              <w:ind w:left="738" w:hanging="425"/>
              <w:jc w:val="left"/>
              <w:rPr>
                <w:rFonts w:asciiTheme="minorHAnsi" w:eastAsiaTheme="minorHAnsi" w:hAnsiTheme="minorHAnsi" w:cstheme="minorHAnsi"/>
                <w:b/>
                <w:i/>
                <w:sz w:val="22"/>
                <w:szCs w:val="22"/>
                <w:lang w:eastAsia="en-US"/>
              </w:rPr>
            </w:pPr>
            <w:r w:rsidRPr="00A258B6">
              <w:rPr>
                <w:rFonts w:asciiTheme="minorHAnsi" w:eastAsiaTheme="minorHAnsi" w:hAnsiTheme="minorHAnsi" w:cstheme="minorHAnsi"/>
                <w:b/>
                <w:i/>
                <w:sz w:val="22"/>
                <w:szCs w:val="22"/>
                <w:lang w:eastAsia="en-US"/>
              </w:rPr>
              <w:t>jest zatrudniony przez przedsiębiorcę</w:t>
            </w:r>
            <w:r>
              <w:rPr>
                <w:rFonts w:asciiTheme="minorHAnsi" w:eastAsiaTheme="minorHAnsi" w:hAnsiTheme="minorHAnsi" w:cstheme="minorHAnsi"/>
                <w:b/>
                <w:i/>
                <w:sz w:val="22"/>
                <w:szCs w:val="22"/>
                <w:lang w:eastAsia="en-US"/>
              </w:rPr>
              <w:t>:</w:t>
            </w:r>
          </w:p>
          <w:p w14:paraId="646C65D6" w14:textId="2D8BAC18" w:rsidR="0059404D" w:rsidRDefault="0059404D" w:rsidP="0042202B">
            <w:pPr>
              <w:pStyle w:val="ZARTzmartartykuempunktem"/>
              <w:numPr>
                <w:ilvl w:val="0"/>
                <w:numId w:val="19"/>
              </w:numPr>
              <w:spacing w:line="240" w:lineRule="auto"/>
              <w:jc w:val="left"/>
              <w:rPr>
                <w:rFonts w:asciiTheme="minorHAnsi" w:eastAsiaTheme="minorHAnsi" w:hAnsiTheme="minorHAnsi" w:cstheme="minorHAnsi"/>
                <w:b/>
                <w:i/>
                <w:sz w:val="22"/>
                <w:szCs w:val="22"/>
                <w:lang w:eastAsia="en-US"/>
              </w:rPr>
            </w:pPr>
            <w:r w:rsidRPr="00A258B6">
              <w:rPr>
                <w:rFonts w:asciiTheme="minorHAnsi" w:eastAsiaTheme="minorHAnsi" w:hAnsiTheme="minorHAnsi" w:cstheme="minorHAnsi"/>
                <w:b/>
                <w:i/>
                <w:sz w:val="22"/>
                <w:szCs w:val="22"/>
                <w:lang w:eastAsia="en-US"/>
              </w:rPr>
              <w:t>wykonującego działalność gospodarczą w zakresie odpowiednio stacji kontroli pojazdów, o której mowa w art. 83 ust. 1 pkt 1 lub 2 ustawy z dnia 20 czerwca 1997 r. – Prawo o ruchu drogowym</w:t>
            </w:r>
            <w:r>
              <w:rPr>
                <w:rFonts w:asciiTheme="minorHAnsi" w:eastAsiaTheme="minorHAnsi" w:hAnsiTheme="minorHAnsi" w:cstheme="minorHAnsi"/>
                <w:b/>
                <w:i/>
                <w:sz w:val="22"/>
                <w:szCs w:val="22"/>
                <w:lang w:eastAsia="en-US"/>
              </w:rPr>
              <w:t>,</w:t>
            </w:r>
            <w:r w:rsidRPr="00A258B6">
              <w:rPr>
                <w:rFonts w:asciiTheme="minorHAnsi" w:eastAsiaTheme="minorHAnsi" w:hAnsiTheme="minorHAnsi" w:cstheme="minorHAnsi"/>
                <w:b/>
                <w:i/>
                <w:sz w:val="22"/>
                <w:szCs w:val="22"/>
                <w:lang w:eastAsia="en-US"/>
              </w:rPr>
              <w:t xml:space="preserve"> </w:t>
            </w:r>
          </w:p>
          <w:p w14:paraId="249F0ED1" w14:textId="54308508" w:rsidR="0059404D" w:rsidRPr="00A258B6" w:rsidRDefault="0059404D" w:rsidP="0042202B">
            <w:pPr>
              <w:pStyle w:val="ZARTzmartartykuempunktem"/>
              <w:numPr>
                <w:ilvl w:val="0"/>
                <w:numId w:val="19"/>
              </w:numPr>
              <w:spacing w:line="240" w:lineRule="auto"/>
              <w:jc w:val="left"/>
              <w:rPr>
                <w:rFonts w:asciiTheme="minorHAnsi" w:eastAsiaTheme="minorHAnsi" w:hAnsiTheme="minorHAnsi" w:cstheme="minorHAnsi"/>
                <w:b/>
                <w:i/>
                <w:sz w:val="22"/>
                <w:szCs w:val="22"/>
                <w:lang w:eastAsia="en-US"/>
              </w:rPr>
            </w:pPr>
            <w:r w:rsidRPr="00A258B6">
              <w:rPr>
                <w:rFonts w:asciiTheme="minorHAnsi" w:eastAsiaTheme="minorHAnsi" w:hAnsiTheme="minorHAnsi" w:cstheme="minorHAnsi"/>
                <w:b/>
                <w:i/>
                <w:sz w:val="22"/>
                <w:szCs w:val="22"/>
                <w:lang w:eastAsia="en-US"/>
              </w:rPr>
              <w:t xml:space="preserve">posiadającego uprawnienie do realizacji tej procedury przez </w:t>
            </w:r>
            <w:r w:rsidRPr="00A258B6">
              <w:rPr>
                <w:rFonts w:asciiTheme="minorHAnsi" w:eastAsiaTheme="minorHAnsi" w:hAnsiTheme="minorHAnsi" w:cstheme="minorHAnsi"/>
                <w:b/>
                <w:i/>
                <w:sz w:val="22"/>
                <w:szCs w:val="22"/>
                <w:lang w:eastAsia="en-US"/>
              </w:rPr>
              <w:lastRenderedPageBreak/>
              <w:t xml:space="preserve">diagnostę, o którym mowa w pkt 1 w prowadzonej przez niego stacji.”  </w:t>
            </w:r>
          </w:p>
          <w:p w14:paraId="330A28F2" w14:textId="3C727D4E" w:rsidR="0059404D" w:rsidRPr="009A0184" w:rsidRDefault="0059404D" w:rsidP="0042202B">
            <w:pPr>
              <w:rPr>
                <w:rFonts w:cstheme="minorHAnsi"/>
                <w:b/>
              </w:rPr>
            </w:pPr>
          </w:p>
        </w:tc>
        <w:tc>
          <w:tcPr>
            <w:tcW w:w="3686" w:type="dxa"/>
          </w:tcPr>
          <w:p w14:paraId="7C21AAA6" w14:textId="4C1F3335" w:rsidR="0059404D" w:rsidRPr="000E76C9" w:rsidRDefault="00A15299" w:rsidP="0042202B">
            <w:pPr>
              <w:rPr>
                <w:rFonts w:cstheme="minorHAnsi"/>
                <w:b/>
              </w:rPr>
            </w:pPr>
            <w:r w:rsidRPr="000E76C9">
              <w:rPr>
                <w:rFonts w:cstheme="minorHAnsi"/>
                <w:b/>
              </w:rPr>
              <w:lastRenderedPageBreak/>
              <w:t>MNiSW prześle materiały pomocne do uzasadnienia zapisu</w:t>
            </w:r>
          </w:p>
          <w:p w14:paraId="3E5B03AA" w14:textId="77777777" w:rsidR="007B6387" w:rsidRPr="007B6387" w:rsidRDefault="007B6387" w:rsidP="0042202B">
            <w:pPr>
              <w:rPr>
                <w:rFonts w:cstheme="minorHAnsi"/>
                <w:b/>
                <w:color w:val="0070C0"/>
                <w:u w:val="single"/>
              </w:rPr>
            </w:pPr>
          </w:p>
          <w:p w14:paraId="6EED23F4" w14:textId="77777777" w:rsidR="007B6387" w:rsidRDefault="007B6387" w:rsidP="0042202B">
            <w:pPr>
              <w:rPr>
                <w:rFonts w:cstheme="minorHAnsi"/>
                <w:b/>
                <w:color w:val="0070C0"/>
                <w:u w:val="single"/>
              </w:rPr>
            </w:pPr>
            <w:r w:rsidRPr="007B6387">
              <w:rPr>
                <w:rFonts w:cstheme="minorHAnsi"/>
                <w:b/>
                <w:color w:val="0070C0"/>
                <w:u w:val="single"/>
              </w:rPr>
              <w:t xml:space="preserve">MNiSW zaakceptowało poniższe uzasadnienie: </w:t>
            </w:r>
          </w:p>
          <w:p w14:paraId="1C5180C7" w14:textId="77777777" w:rsidR="007B6387" w:rsidRDefault="007B6387" w:rsidP="0042202B">
            <w:pPr>
              <w:rPr>
                <w:rFonts w:cstheme="minorHAnsi"/>
                <w:b/>
                <w:color w:val="0070C0"/>
                <w:u w:val="single"/>
              </w:rPr>
            </w:pPr>
          </w:p>
          <w:p w14:paraId="45B3DBFA" w14:textId="77777777" w:rsidR="00177E57" w:rsidRPr="00177E57" w:rsidRDefault="00177E57" w:rsidP="0042202B">
            <w:pPr>
              <w:rPr>
                <w:rFonts w:cstheme="minorHAnsi"/>
                <w:b/>
                <w:color w:val="0070C0"/>
                <w:u w:val="single"/>
              </w:rPr>
            </w:pPr>
            <w:r w:rsidRPr="00177E57">
              <w:rPr>
                <w:rFonts w:cstheme="minorHAnsi"/>
                <w:b/>
                <w:color w:val="0070C0"/>
                <w:u w:val="single"/>
              </w:rPr>
              <w:t xml:space="preserve">Zgodnie z art. 5 pkt 4 ustawy z dnia 22 grudnia 2015 r. o zasadach uznawania kwalifikacji zawodowych nabytych w państwach członkowskich Unii Europejskiej (Dz. U. z 2026 r. poz. </w:t>
            </w:r>
            <w:r w:rsidRPr="00177E57">
              <w:rPr>
                <w:rFonts w:cstheme="minorHAnsi"/>
                <w:b/>
                <w:color w:val="0070C0"/>
                <w:u w:val="single"/>
              </w:rPr>
              <w:lastRenderedPageBreak/>
              <w:t>166) zawód regulowany oznacza zespół czynności zawodowych, których wykonywanie jest uzależnione od posiadania określonych w przepisach regulacyjnych formalnych kwalifikacji niezbędnych do wykonywania tych czynności zawodowych oraz, o ile jest to wymagane, od spełnienia innych warunków określonych w tych przepisach, stanowiących o sposobie regulacji zawodu.</w:t>
            </w:r>
          </w:p>
          <w:p w14:paraId="200AE069" w14:textId="77777777" w:rsidR="00177E57" w:rsidRPr="00177E57" w:rsidRDefault="00177E57" w:rsidP="0042202B">
            <w:pPr>
              <w:rPr>
                <w:rFonts w:cstheme="minorHAnsi"/>
                <w:b/>
                <w:color w:val="0070C0"/>
                <w:u w:val="single"/>
              </w:rPr>
            </w:pPr>
            <w:r w:rsidRPr="00177E57">
              <w:rPr>
                <w:rFonts w:cstheme="minorHAnsi"/>
                <w:b/>
                <w:color w:val="0070C0"/>
                <w:u w:val="single"/>
              </w:rPr>
              <w:t xml:space="preserve">Formalne kwalifikacje niezbędne do wykonywania zawodu diagnosty zostały uregulowane w art. 84 ustawy z dnia 20 czerwca 1997 r. – Prawo o ruchu drogowym. Podstawę regulacji zawodu regulowanego stanowi również rozporządzenie Ministra Infrastruktury i Rozwoju z dnia 28 listopada 2014 r. w sprawie szkolenia i egzaminowania diagnostów oraz wzorów dokumentów z tym związanych (Dz. U. z 2021 r. poz. 1921). </w:t>
            </w:r>
          </w:p>
          <w:p w14:paraId="5C4FE6C6" w14:textId="77777777" w:rsidR="00177E57" w:rsidRPr="00177E57" w:rsidRDefault="00177E57" w:rsidP="0042202B">
            <w:pPr>
              <w:rPr>
                <w:rFonts w:cstheme="minorHAnsi"/>
                <w:b/>
                <w:color w:val="0070C0"/>
                <w:u w:val="single"/>
              </w:rPr>
            </w:pPr>
            <w:r w:rsidRPr="00177E57">
              <w:rPr>
                <w:rFonts w:cstheme="minorHAnsi"/>
                <w:b/>
                <w:color w:val="0070C0"/>
                <w:u w:val="single"/>
              </w:rPr>
              <w:t xml:space="preserve">Uprawnienie do wykonywania badań technicznych pojazdów wydaje starosta, jeżeli osoba ubiegająca się o jego wydanie posiada wymagane </w:t>
            </w:r>
            <w:r w:rsidRPr="00177E57">
              <w:rPr>
                <w:rFonts w:cstheme="minorHAnsi"/>
                <w:b/>
                <w:color w:val="0070C0"/>
                <w:u w:val="single"/>
              </w:rPr>
              <w:lastRenderedPageBreak/>
              <w:t xml:space="preserve">wykształcenie techniczne i praktykę, odbyła wymagane szkolenie oraz zdała egzamin kwalifikacyjny. Ponadto na mocy § 1 ust. 3 rozporządzenia Ministra Infrastruktury i Budownictwa z dnia 14 grudnia 2016 r. w </w:t>
            </w:r>
            <w:hyperlink r:id="rId8" w:tgtFrame="_blank" w:history="1">
              <w:r w:rsidRPr="00177E57">
                <w:rPr>
                  <w:rFonts w:cstheme="minorHAnsi"/>
                  <w:b/>
                  <w:color w:val="0070C0"/>
                  <w:u w:val="single"/>
                </w:rPr>
                <w:t>sprawie upoważnienia organów do uznawania kwalifikacji do wykonywania zawodów regulowanych należących do działów budownictwo, planowanie i zagospodarowanie przestrzenne oraz mieszkalnictwo i transport</w:t>
              </w:r>
            </w:hyperlink>
            <w:r w:rsidRPr="00177E57">
              <w:rPr>
                <w:rFonts w:cstheme="minorHAnsi"/>
                <w:b/>
                <w:color w:val="0070C0"/>
                <w:u w:val="single"/>
              </w:rPr>
              <w:t xml:space="preserve"> (Dz. U. poz. 2086), Dyrektor TDT jest upoważniony do uznawania w drodze decyzji, nabytych w innych niż Rzeczpospolita Polska państwach członkowskich Unii Europejskiej, Konfederacji Szwajcarskiej lub państwach członkowskich Europejskiego Porozumienia o Wolnym Handlu (EFTA) – stronach umowy o Europejskim Obszarze Gospodarczym, kwalifikacji do wykonywania zawodu regulowanego, jakim jest zawód diagnosty uprawniony do wykonywania badań technicznych pojazdów. </w:t>
            </w:r>
          </w:p>
          <w:p w14:paraId="0055107A" w14:textId="77777777" w:rsidR="00177E57" w:rsidRPr="00177E57" w:rsidRDefault="00177E57" w:rsidP="0042202B">
            <w:pPr>
              <w:rPr>
                <w:rFonts w:cstheme="minorHAnsi"/>
                <w:b/>
                <w:color w:val="0070C0"/>
                <w:u w:val="single"/>
              </w:rPr>
            </w:pPr>
            <w:r w:rsidRPr="00177E57">
              <w:rPr>
                <w:rFonts w:cstheme="minorHAnsi"/>
                <w:b/>
                <w:color w:val="0070C0"/>
                <w:u w:val="single"/>
              </w:rPr>
              <w:lastRenderedPageBreak/>
              <w:t xml:space="preserve">Z danych otrzymanych od Dyrektora TDT (stan na dzień 24 kwietnia 2026 r. na podstawie liczby wydanych zaświadczeń potwierdzających zdanie egzaminu kwalifikacyjnego od 2016 r.) wynika, że jest 15490 diagnostów. </w:t>
            </w:r>
          </w:p>
          <w:p w14:paraId="5A65C3ED" w14:textId="77777777" w:rsidR="00177E57" w:rsidRPr="00177E57" w:rsidRDefault="00177E57" w:rsidP="0042202B">
            <w:pPr>
              <w:rPr>
                <w:rFonts w:cstheme="minorHAnsi"/>
                <w:b/>
                <w:color w:val="0070C0"/>
                <w:u w:val="single"/>
              </w:rPr>
            </w:pPr>
            <w:r w:rsidRPr="00177E57">
              <w:rPr>
                <w:rFonts w:cstheme="minorHAnsi"/>
                <w:b/>
                <w:color w:val="0070C0"/>
                <w:u w:val="single"/>
              </w:rPr>
              <w:t xml:space="preserve">Projekt ustawy UC95 wprowadza nową krajową procedurę dopuszczenia indywidualnego pojazdu niebędącego nowym pojazdem, która będzie realizowana przez uprawnionego diagnostę zatrudnionego przez przedsiębiorcę prowadzącego działalność gospodarczą w zakresie okręgowej albo podstawowej stacji kontroli pojazdów. </w:t>
            </w:r>
          </w:p>
          <w:p w14:paraId="0D1A505E" w14:textId="77777777" w:rsidR="00177E57" w:rsidRPr="00177E57" w:rsidRDefault="00177E57" w:rsidP="0042202B">
            <w:pPr>
              <w:pStyle w:val="ZARTzmartartykuempunktem"/>
              <w:spacing w:line="240" w:lineRule="auto"/>
              <w:ind w:left="0" w:firstLine="0"/>
              <w:jc w:val="left"/>
              <w:rPr>
                <w:rFonts w:asciiTheme="minorHAnsi" w:eastAsiaTheme="minorHAnsi" w:hAnsiTheme="minorHAnsi" w:cstheme="minorHAnsi"/>
                <w:b/>
                <w:color w:val="0070C0"/>
                <w:sz w:val="22"/>
                <w:szCs w:val="22"/>
                <w:u w:val="single"/>
                <w:lang w:eastAsia="en-US"/>
              </w:rPr>
            </w:pPr>
            <w:r w:rsidRPr="00177E57">
              <w:rPr>
                <w:rFonts w:asciiTheme="minorHAnsi" w:eastAsiaTheme="minorHAnsi" w:hAnsiTheme="minorHAnsi" w:cstheme="minorHAnsi"/>
                <w:b/>
                <w:color w:val="0070C0"/>
                <w:sz w:val="22"/>
                <w:szCs w:val="22"/>
                <w:u w:val="single"/>
                <w:lang w:eastAsia="en-US"/>
              </w:rPr>
              <w:t xml:space="preserve">Należy zauważyć jak wskazano powyżej, iż zarówno uprawniony diagnosta, jak i przedsiębiorca prowadzący stacje kontroli pojazdów sami decydują o przystąpieniu do przeprowadzenia tej procedury – zatem ma ona charakter fakultatywny. Dopiero w przypadku podjęcia zamiaru realizacji tej procedury, zarówno diagnosta, jak i przedsiębiorca prowadzący stację będą musieli spełnić określone wymogi dedykowane tej procedurze i uzyskać odpowiednie upoważnienia do jej realizacji. </w:t>
            </w:r>
          </w:p>
          <w:p w14:paraId="4589CBEA" w14:textId="77777777" w:rsidR="00177E57" w:rsidRPr="00177E57" w:rsidRDefault="00177E57" w:rsidP="0042202B">
            <w:pPr>
              <w:pStyle w:val="ZARTzmartartykuempunktem"/>
              <w:spacing w:line="240" w:lineRule="auto"/>
              <w:ind w:left="0" w:firstLine="0"/>
              <w:jc w:val="left"/>
              <w:rPr>
                <w:rFonts w:asciiTheme="minorHAnsi" w:eastAsiaTheme="minorHAnsi" w:hAnsiTheme="minorHAnsi" w:cstheme="minorHAnsi"/>
                <w:b/>
                <w:color w:val="0070C0"/>
                <w:sz w:val="22"/>
                <w:szCs w:val="22"/>
                <w:u w:val="single"/>
                <w:lang w:eastAsia="en-US"/>
              </w:rPr>
            </w:pPr>
            <w:r w:rsidRPr="00177E57">
              <w:rPr>
                <w:rFonts w:asciiTheme="minorHAnsi" w:eastAsiaTheme="minorHAnsi" w:hAnsiTheme="minorHAnsi" w:cstheme="minorHAnsi"/>
                <w:b/>
                <w:color w:val="0070C0"/>
                <w:sz w:val="22"/>
                <w:szCs w:val="22"/>
                <w:u w:val="single"/>
                <w:lang w:eastAsia="en-US"/>
              </w:rPr>
              <w:t xml:space="preserve">Takie samo podejście jest w przepisie przejściowym projektu UC95 – art. 8 i 9 – gdzie pozostawiona jest fakultatywność realizacji procedury, która zależy od decyzji diagnosty, a nie wynika z obowiązku prawnego. Natomiast jeżeli już diagnosta zdecyduje się na realizację tej procedury to musi przejść cały proces w zakresie szkolenia, egzaminu i uzyskania zaświadczenia kwalifikacyjnego wydanego przez Dyrektora TDT </w:t>
            </w:r>
            <w:r w:rsidRPr="00177E57">
              <w:rPr>
                <w:rFonts w:asciiTheme="minorHAnsi" w:eastAsiaTheme="minorHAnsi" w:hAnsiTheme="minorHAnsi" w:cstheme="minorHAnsi"/>
                <w:b/>
                <w:color w:val="0070C0"/>
                <w:sz w:val="22"/>
                <w:szCs w:val="22"/>
                <w:u w:val="single"/>
                <w:lang w:eastAsia="en-US"/>
              </w:rPr>
              <w:softHyphen/>
            </w:r>
            <w:r w:rsidRPr="00177E57">
              <w:rPr>
                <w:rFonts w:asciiTheme="minorHAnsi" w:eastAsiaTheme="minorHAnsi" w:hAnsiTheme="minorHAnsi" w:cstheme="minorHAnsi"/>
                <w:b/>
                <w:color w:val="0070C0"/>
                <w:sz w:val="22"/>
                <w:szCs w:val="22"/>
                <w:u w:val="single"/>
                <w:lang w:eastAsia="en-US"/>
              </w:rPr>
              <w:softHyphen/>
              <w:t xml:space="preserve">– wymogi te nie dotyczą zatem każdego uprawnionego diagnosty, ale tylko tego, który będzie chciał przeprowadzać w stacji kontroli pojazdów procedurę krajowego indywidualnego dopuszczenia pojazdu niebędącego nowym pojazdem. </w:t>
            </w:r>
          </w:p>
          <w:p w14:paraId="52609876" w14:textId="77777777" w:rsidR="00177E57" w:rsidRPr="00177E57" w:rsidRDefault="00177E57" w:rsidP="0042202B">
            <w:pPr>
              <w:pStyle w:val="ZARTzmartartykuempunktem"/>
              <w:spacing w:line="240" w:lineRule="auto"/>
              <w:ind w:left="0" w:firstLine="0"/>
              <w:jc w:val="left"/>
              <w:rPr>
                <w:rFonts w:asciiTheme="minorHAnsi" w:eastAsiaTheme="minorHAnsi" w:hAnsiTheme="minorHAnsi" w:cstheme="minorHAnsi"/>
                <w:b/>
                <w:color w:val="0070C0"/>
                <w:sz w:val="22"/>
                <w:szCs w:val="22"/>
                <w:u w:val="single"/>
                <w:lang w:eastAsia="en-US"/>
              </w:rPr>
            </w:pPr>
            <w:r w:rsidRPr="00177E57">
              <w:rPr>
                <w:rFonts w:asciiTheme="minorHAnsi" w:eastAsiaTheme="minorHAnsi" w:hAnsiTheme="minorHAnsi" w:cstheme="minorHAnsi"/>
                <w:b/>
                <w:color w:val="0070C0"/>
                <w:sz w:val="22"/>
                <w:szCs w:val="22"/>
                <w:u w:val="single"/>
                <w:lang w:eastAsia="en-US"/>
              </w:rPr>
              <w:t xml:space="preserve">Mając na uwadze powyższe, w ocenie projektodawcy, wprowadzenie nowej procedury i określenie wymagań na potrzeby jej przeprowadzania nie wpływa na sam dostęp do zawodu diagnosty, gdyż projekt UC95 nie zmienia formalnych kwalifikacji określonych w art. 84 ustawy z dnia 20 czerwca 1997 r. – Prawo o ruchu drogowym, niezbędnych do uzyskania od starosty uprawnienia diagnosty, czy też uznania kwalifikacji przez Dyrektora TDT. </w:t>
            </w:r>
          </w:p>
          <w:p w14:paraId="5EC5D982" w14:textId="77777777" w:rsidR="00177E57" w:rsidRPr="00177E57" w:rsidRDefault="00177E57" w:rsidP="0042202B">
            <w:pPr>
              <w:rPr>
                <w:rFonts w:cstheme="minorHAnsi"/>
                <w:b/>
                <w:color w:val="0070C0"/>
                <w:u w:val="single"/>
              </w:rPr>
            </w:pPr>
            <w:r w:rsidRPr="00177E57">
              <w:rPr>
                <w:rFonts w:cstheme="minorHAnsi"/>
                <w:b/>
                <w:color w:val="0070C0"/>
                <w:u w:val="single"/>
              </w:rPr>
              <w:t>Wprowadzenie nowego fakultatywnego zadania dla diagnostów i wymagań z tym związanych projektem ustawy UC95 spowodowało konieczność obowiązku przeprowadzenia oceny zgodności projektowanych przepisów z zasadami proporcjonalności, uzasadnionego i niedyskryminującego charakteru:</w:t>
            </w:r>
          </w:p>
          <w:p w14:paraId="6736269E" w14:textId="77777777" w:rsidR="00177E57" w:rsidRPr="00177E57" w:rsidRDefault="00177E57" w:rsidP="0042202B">
            <w:pPr>
              <w:rPr>
                <w:rFonts w:cstheme="minorHAnsi"/>
                <w:b/>
                <w:color w:val="0070C0"/>
                <w:u w:val="single"/>
              </w:rPr>
            </w:pPr>
            <w:r w:rsidRPr="00177E57">
              <w:rPr>
                <w:rFonts w:cstheme="minorHAnsi"/>
                <w:b/>
                <w:color w:val="0070C0"/>
                <w:u w:val="single"/>
              </w:rPr>
              <w:t>Projektowane przepisy są zgodne z zasadą uzasadnionego charakteru. Jest to istotne zważywszy, że nadrzędnym celem nowych regulacji jest zapewnienie szerszego dostępu dla właścicieli pojazdów sprowadzonych z krajów spoza UE do uzyskania krajowego indywidualnego dopuszczenia pojazdu niebędącego nowym pojazdem w porównaniu do sytuacji, gdyby zadanie to wykonywałaby w pełni służba techniczna. Dlatego takie rozwiązanie przekłada się na spełnienie wymogu zgodności projektowanych przepisów także z zasadą proporcjonalności tj. liczby uprawnionych diagnostów w stosunku do służby technicznej (certyfikowanej jednostki badawczej).</w:t>
            </w:r>
          </w:p>
          <w:p w14:paraId="237465CC" w14:textId="77777777" w:rsidR="00177E57" w:rsidRPr="00177E57" w:rsidRDefault="00177E57" w:rsidP="0042202B">
            <w:pPr>
              <w:rPr>
                <w:rFonts w:cstheme="minorHAnsi"/>
                <w:b/>
                <w:color w:val="0070C0"/>
                <w:u w:val="single"/>
              </w:rPr>
            </w:pPr>
            <w:r w:rsidRPr="00177E57">
              <w:rPr>
                <w:rFonts w:cstheme="minorHAnsi"/>
                <w:b/>
                <w:color w:val="0070C0"/>
                <w:u w:val="single"/>
              </w:rPr>
              <w:t xml:space="preserve">W wyniku przeprowadzonej analizy stwierdzono, że przepisy projektu w zakresie wymagań, jakie powinien spełnić uprawniony diagnosta w celu wykonywania nowej procedury krajowego indywidualnego dopuszczenia pojazdu niebędącego nowym pojazdem nie są dyskryminujące ze względu na obywatelstwo lub miejsce zamieszkania. </w:t>
            </w:r>
          </w:p>
          <w:p w14:paraId="43721A40" w14:textId="77777777" w:rsidR="00177E57" w:rsidRPr="00177E57" w:rsidRDefault="00177E57" w:rsidP="0042202B">
            <w:pPr>
              <w:rPr>
                <w:rFonts w:cstheme="minorHAnsi"/>
                <w:b/>
                <w:color w:val="0070C0"/>
                <w:u w:val="single"/>
              </w:rPr>
            </w:pPr>
            <w:r w:rsidRPr="00177E57">
              <w:rPr>
                <w:rFonts w:cstheme="minorHAnsi"/>
                <w:b/>
                <w:color w:val="0070C0"/>
                <w:u w:val="single"/>
              </w:rPr>
              <w:t xml:space="preserve">Projektowane przepisy są uzasadnione nadrzędnymi względami interesu ogólnego, jakim jest zapewnienie bezpieczeństwa ruchu drogowego oraz ochrony środowiska naturalnego. Uznano, że diagnosta, który wykonuje czynności o charakterze publicznoprawnym w systemie badań technicznych pojazdów będzie w stanie zrealizować, przy wykorzystaniu projektowanych przepisów prawnych i instrumentów technicznych, wskazane cele w procedurze krajowego indywidualnego dopuszczenia pojazdu niebędącego nowym pojazdem. </w:t>
            </w:r>
          </w:p>
          <w:p w14:paraId="0E41EB6C" w14:textId="0B65EC9C" w:rsidR="007B6387" w:rsidRPr="007B6387" w:rsidRDefault="00177E57" w:rsidP="0042202B">
            <w:pPr>
              <w:rPr>
                <w:rFonts w:cstheme="minorHAnsi"/>
                <w:b/>
                <w:color w:val="0070C0"/>
                <w:u w:val="single"/>
              </w:rPr>
            </w:pPr>
            <w:r w:rsidRPr="00177E57">
              <w:rPr>
                <w:rFonts w:cstheme="minorHAnsi"/>
                <w:b/>
                <w:color w:val="0070C0"/>
                <w:u w:val="single"/>
              </w:rPr>
              <w:t>Pomimo wprowadzonych przepisów przejściowych, o których mowa w art. 8 i 9 projektu (zawierających inne wymagania w odniesieniu do diagnosty, który uzyskał uprawnienie do wykonywania badań technicznych przed dniem wejścia w życie ustawy a diagnosty, który jest już zatrudniony przez przedsiębiorcę prowadzącego stację kontroli pojazdów w dniu wejścia w życie ustawy), przepisy są odpowiednie do zapewnienia osiągnięcia zamierzonych celów i nie wykraczają poza to, co jest konieczne do osiągnięcia tych celów. Odbycie jednodniowego szkolenia w zakresie krajowego indywidualnego dopuszczenia pojazdu niebędącego nowym pojazdem w terminie 12 miesięcy od dnia wejścia w życie niniejszej ustawy zostało ujęte jako równoznaczne z ukończeniem szkolenia i zdaniem egzaminu kwalifikacyjnego, o których mowa w art. 68g ust. 2 ustawy zmienianej w art. 1, z uwagi, że diagności, którzy są zatrudnieni już u przedsiębiorcy prowadzącego stację kontroli pojazdów mogą wykorzystać wiedzę z zakresu przeprowadzania badań technicznych w celu realizacji procedury krajowego indywidualnego dopuszczenia pojazdu niebędącego nowym pojazdem, a także zapewnić, że ta procedura będzie mogła zostać realizowana w możliwie krótkim czasie po wejściu w życie ustawy.</w:t>
            </w:r>
          </w:p>
        </w:tc>
      </w:tr>
      <w:tr w:rsidR="0059404D" w:rsidRPr="00F515D6" w14:paraId="4AE66715" w14:textId="11F14D67" w:rsidTr="00D76FE7">
        <w:trPr>
          <w:trHeight w:val="1698"/>
        </w:trPr>
        <w:tc>
          <w:tcPr>
            <w:tcW w:w="562" w:type="dxa"/>
          </w:tcPr>
          <w:p w14:paraId="6AFC8947" w14:textId="43FCDE3F" w:rsidR="0059404D" w:rsidRPr="00832A87" w:rsidRDefault="0059404D" w:rsidP="0042202B">
            <w:pPr>
              <w:rPr>
                <w:rFonts w:cstheme="minorHAnsi"/>
                <w:b/>
              </w:rPr>
            </w:pPr>
            <w:r w:rsidRPr="00832A87">
              <w:rPr>
                <w:rFonts w:cstheme="minorHAnsi"/>
                <w:b/>
              </w:rPr>
              <w:lastRenderedPageBreak/>
              <w:t>31</w:t>
            </w:r>
          </w:p>
        </w:tc>
        <w:tc>
          <w:tcPr>
            <w:tcW w:w="993" w:type="dxa"/>
          </w:tcPr>
          <w:p w14:paraId="5234B6E8" w14:textId="77777777" w:rsidR="0059404D" w:rsidRDefault="0059404D" w:rsidP="0042202B">
            <w:pPr>
              <w:rPr>
                <w:rFonts w:cstheme="minorHAnsi"/>
                <w:b/>
              </w:rPr>
            </w:pPr>
            <w:r w:rsidRPr="00832A87">
              <w:rPr>
                <w:rFonts w:cstheme="minorHAnsi"/>
                <w:b/>
              </w:rPr>
              <w:t>MSWiA</w:t>
            </w:r>
          </w:p>
          <w:p w14:paraId="7F42809B" w14:textId="77777777" w:rsidR="0059404D" w:rsidRDefault="0059404D" w:rsidP="0042202B">
            <w:pPr>
              <w:rPr>
                <w:rFonts w:cstheme="minorHAnsi"/>
                <w:b/>
                <w:color w:val="00B050"/>
              </w:rPr>
            </w:pPr>
            <w:r>
              <w:rPr>
                <w:rFonts w:cstheme="minorHAnsi"/>
                <w:b/>
                <w:color w:val="00B050"/>
              </w:rPr>
              <w:t>+uwaga 22 RCL</w:t>
            </w:r>
          </w:p>
          <w:p w14:paraId="5B70E733" w14:textId="77777777" w:rsidR="0059404D" w:rsidRDefault="0059404D" w:rsidP="0042202B">
            <w:pPr>
              <w:rPr>
                <w:rFonts w:cstheme="minorHAnsi"/>
                <w:b/>
                <w:color w:val="00B050"/>
              </w:rPr>
            </w:pPr>
          </w:p>
          <w:p w14:paraId="75E62EAB" w14:textId="77777777" w:rsidR="0059404D" w:rsidRDefault="0059404D" w:rsidP="0042202B">
            <w:pPr>
              <w:rPr>
                <w:rFonts w:cstheme="minorHAnsi"/>
                <w:b/>
              </w:rPr>
            </w:pPr>
            <w:r>
              <w:rPr>
                <w:rFonts w:cstheme="minorHAnsi"/>
                <w:b/>
                <w:color w:val="00B050"/>
              </w:rPr>
              <w:t>+uwaga 62 MC</w:t>
            </w:r>
            <w:r w:rsidRPr="00832A87">
              <w:rPr>
                <w:rFonts w:cstheme="minorHAnsi"/>
                <w:b/>
              </w:rPr>
              <w:t xml:space="preserve"> </w:t>
            </w:r>
          </w:p>
          <w:p w14:paraId="06C28937" w14:textId="77777777" w:rsidR="0059404D" w:rsidRDefault="0059404D" w:rsidP="0042202B">
            <w:pPr>
              <w:rPr>
                <w:rFonts w:cstheme="minorHAnsi"/>
                <w:b/>
              </w:rPr>
            </w:pPr>
          </w:p>
          <w:p w14:paraId="752B4D6B" w14:textId="7016B2C8" w:rsidR="0059404D" w:rsidRPr="00832A87" w:rsidRDefault="0059404D" w:rsidP="0042202B">
            <w:pPr>
              <w:rPr>
                <w:rFonts w:cstheme="minorHAnsi"/>
                <w:b/>
              </w:rPr>
            </w:pPr>
            <w:r>
              <w:rPr>
                <w:rFonts w:cstheme="minorHAnsi"/>
                <w:b/>
                <w:color w:val="00B050"/>
              </w:rPr>
              <w:t>+ uwaga 69 MC (dot. art. 73aa ust. 1a)</w:t>
            </w:r>
          </w:p>
        </w:tc>
        <w:tc>
          <w:tcPr>
            <w:tcW w:w="1701" w:type="dxa"/>
          </w:tcPr>
          <w:p w14:paraId="6E70F144" w14:textId="3CC09B8F" w:rsidR="0059404D" w:rsidRPr="00832A87" w:rsidRDefault="0059404D" w:rsidP="0042202B">
            <w:pPr>
              <w:rPr>
                <w:rFonts w:cstheme="minorHAnsi"/>
                <w:b/>
              </w:rPr>
            </w:pPr>
            <w:r w:rsidRPr="00832A87">
              <w:rPr>
                <w:rFonts w:cstheme="minorHAnsi"/>
                <w:b/>
              </w:rPr>
              <w:t xml:space="preserve">Art. 71 ust. 5b, art. 73aa ust. 1a–1d ustawy – Prawo o ruchu drogowym, dalej: „PRD”, </w:t>
            </w:r>
          </w:p>
          <w:p w14:paraId="4A9BD66C" w14:textId="3601F9B8" w:rsidR="0059404D" w:rsidRPr="00832A87" w:rsidRDefault="0059404D" w:rsidP="0042202B">
            <w:pPr>
              <w:rPr>
                <w:rFonts w:cstheme="minorHAnsi"/>
                <w:b/>
              </w:rPr>
            </w:pPr>
            <w:r w:rsidRPr="00832A87">
              <w:rPr>
                <w:rFonts w:cstheme="minorHAnsi"/>
                <w:b/>
              </w:rPr>
              <w:t xml:space="preserve">Art. 2 UZ </w:t>
            </w:r>
          </w:p>
          <w:p w14:paraId="0F2E36DF" w14:textId="77777777" w:rsidR="0059404D" w:rsidRPr="00832A87" w:rsidRDefault="0059404D" w:rsidP="0042202B">
            <w:pPr>
              <w:rPr>
                <w:rFonts w:cstheme="minorHAnsi"/>
                <w:b/>
              </w:rPr>
            </w:pPr>
          </w:p>
          <w:p w14:paraId="26D6D4F2" w14:textId="77777777" w:rsidR="0059404D" w:rsidRPr="00832A87" w:rsidRDefault="0059404D" w:rsidP="0042202B">
            <w:pPr>
              <w:rPr>
                <w:rFonts w:cstheme="minorHAnsi"/>
                <w:b/>
              </w:rPr>
            </w:pPr>
          </w:p>
          <w:p w14:paraId="08F05846" w14:textId="77777777" w:rsidR="0059404D" w:rsidRPr="00832A87" w:rsidRDefault="0059404D" w:rsidP="0042202B">
            <w:pPr>
              <w:rPr>
                <w:rFonts w:cstheme="minorHAnsi"/>
                <w:b/>
              </w:rPr>
            </w:pPr>
          </w:p>
          <w:p w14:paraId="042C3E25" w14:textId="77777777" w:rsidR="0059404D" w:rsidRPr="00832A87" w:rsidRDefault="0059404D" w:rsidP="0042202B">
            <w:pPr>
              <w:rPr>
                <w:rFonts w:cstheme="minorHAnsi"/>
                <w:b/>
              </w:rPr>
            </w:pPr>
          </w:p>
          <w:p w14:paraId="56035A03" w14:textId="77777777" w:rsidR="0059404D" w:rsidRPr="00832A87" w:rsidRDefault="0059404D" w:rsidP="0042202B">
            <w:pPr>
              <w:rPr>
                <w:rFonts w:cstheme="minorHAnsi"/>
                <w:b/>
              </w:rPr>
            </w:pPr>
          </w:p>
          <w:p w14:paraId="10AB7EC6" w14:textId="77777777" w:rsidR="0059404D" w:rsidRPr="00832A87" w:rsidRDefault="0059404D" w:rsidP="0042202B">
            <w:pPr>
              <w:rPr>
                <w:rFonts w:cstheme="minorHAnsi"/>
                <w:b/>
              </w:rPr>
            </w:pPr>
          </w:p>
          <w:p w14:paraId="79664B84" w14:textId="77777777" w:rsidR="0059404D" w:rsidRPr="00832A87" w:rsidRDefault="0059404D" w:rsidP="0042202B">
            <w:pPr>
              <w:rPr>
                <w:rFonts w:cstheme="minorHAnsi"/>
                <w:b/>
              </w:rPr>
            </w:pPr>
          </w:p>
          <w:p w14:paraId="20C58AFC" w14:textId="77777777" w:rsidR="0059404D" w:rsidRPr="00832A87" w:rsidRDefault="0059404D" w:rsidP="0042202B">
            <w:pPr>
              <w:rPr>
                <w:rFonts w:cstheme="minorHAnsi"/>
                <w:b/>
              </w:rPr>
            </w:pPr>
          </w:p>
          <w:p w14:paraId="05AE82D3" w14:textId="77777777" w:rsidR="0059404D" w:rsidRPr="00832A87" w:rsidRDefault="0059404D" w:rsidP="0042202B">
            <w:pPr>
              <w:rPr>
                <w:rFonts w:cstheme="minorHAnsi"/>
                <w:b/>
              </w:rPr>
            </w:pPr>
          </w:p>
          <w:p w14:paraId="58C5BA9D" w14:textId="77777777" w:rsidR="0059404D" w:rsidRPr="00832A87" w:rsidRDefault="0059404D" w:rsidP="0042202B">
            <w:pPr>
              <w:rPr>
                <w:rFonts w:cstheme="minorHAnsi"/>
                <w:b/>
              </w:rPr>
            </w:pPr>
          </w:p>
          <w:p w14:paraId="55CDF827" w14:textId="77777777" w:rsidR="0059404D" w:rsidRPr="00832A87" w:rsidRDefault="0059404D" w:rsidP="0042202B">
            <w:pPr>
              <w:rPr>
                <w:rFonts w:cstheme="minorHAnsi"/>
                <w:b/>
              </w:rPr>
            </w:pPr>
          </w:p>
          <w:p w14:paraId="2E611CE8" w14:textId="77777777" w:rsidR="0059404D" w:rsidRPr="00832A87" w:rsidRDefault="0059404D" w:rsidP="0042202B">
            <w:pPr>
              <w:rPr>
                <w:rFonts w:cstheme="minorHAnsi"/>
                <w:b/>
              </w:rPr>
            </w:pPr>
          </w:p>
          <w:p w14:paraId="0D3E331E" w14:textId="77777777" w:rsidR="0059404D" w:rsidRPr="00832A87" w:rsidRDefault="0059404D" w:rsidP="0042202B">
            <w:pPr>
              <w:rPr>
                <w:rFonts w:cstheme="minorHAnsi"/>
                <w:b/>
              </w:rPr>
            </w:pPr>
          </w:p>
          <w:p w14:paraId="5D267F54" w14:textId="77777777" w:rsidR="0059404D" w:rsidRPr="00832A87" w:rsidRDefault="0059404D" w:rsidP="0042202B">
            <w:pPr>
              <w:rPr>
                <w:rFonts w:cstheme="minorHAnsi"/>
                <w:b/>
              </w:rPr>
            </w:pPr>
          </w:p>
          <w:p w14:paraId="0CD79A7F" w14:textId="77777777" w:rsidR="0059404D" w:rsidRPr="00832A87" w:rsidRDefault="0059404D" w:rsidP="0042202B">
            <w:pPr>
              <w:rPr>
                <w:rFonts w:cstheme="minorHAnsi"/>
                <w:b/>
              </w:rPr>
            </w:pPr>
          </w:p>
          <w:p w14:paraId="5597B87D" w14:textId="77777777" w:rsidR="0059404D" w:rsidRPr="00832A87" w:rsidRDefault="0059404D" w:rsidP="0042202B">
            <w:pPr>
              <w:rPr>
                <w:rFonts w:cstheme="minorHAnsi"/>
                <w:b/>
              </w:rPr>
            </w:pPr>
          </w:p>
          <w:p w14:paraId="24E15F35" w14:textId="77777777" w:rsidR="0059404D" w:rsidRPr="00832A87" w:rsidRDefault="0059404D" w:rsidP="0042202B">
            <w:pPr>
              <w:rPr>
                <w:rFonts w:cstheme="minorHAnsi"/>
                <w:b/>
              </w:rPr>
            </w:pPr>
          </w:p>
          <w:p w14:paraId="3F4CF21C" w14:textId="77777777" w:rsidR="0059404D" w:rsidRPr="00832A87" w:rsidRDefault="0059404D" w:rsidP="0042202B">
            <w:pPr>
              <w:rPr>
                <w:rFonts w:cstheme="minorHAnsi"/>
                <w:b/>
              </w:rPr>
            </w:pPr>
          </w:p>
          <w:p w14:paraId="066B762A" w14:textId="77777777" w:rsidR="0059404D" w:rsidRPr="00832A87" w:rsidRDefault="0059404D" w:rsidP="0042202B">
            <w:pPr>
              <w:rPr>
                <w:rFonts w:cstheme="minorHAnsi"/>
                <w:b/>
              </w:rPr>
            </w:pPr>
          </w:p>
          <w:p w14:paraId="2DD6633F" w14:textId="77777777" w:rsidR="0059404D" w:rsidRPr="00832A87" w:rsidRDefault="0059404D" w:rsidP="0042202B">
            <w:pPr>
              <w:rPr>
                <w:rFonts w:cstheme="minorHAnsi"/>
                <w:b/>
              </w:rPr>
            </w:pPr>
          </w:p>
          <w:p w14:paraId="5F38B5D0" w14:textId="77777777" w:rsidR="0059404D" w:rsidRPr="00832A87" w:rsidRDefault="0059404D" w:rsidP="0042202B">
            <w:pPr>
              <w:rPr>
                <w:rFonts w:cstheme="minorHAnsi"/>
                <w:b/>
              </w:rPr>
            </w:pPr>
          </w:p>
          <w:p w14:paraId="33EFF630" w14:textId="77777777" w:rsidR="0059404D" w:rsidRPr="00832A87" w:rsidRDefault="0059404D" w:rsidP="0042202B">
            <w:pPr>
              <w:rPr>
                <w:rFonts w:cstheme="minorHAnsi"/>
                <w:b/>
              </w:rPr>
            </w:pPr>
          </w:p>
          <w:p w14:paraId="636F6CD4" w14:textId="77777777" w:rsidR="0059404D" w:rsidRPr="00832A87" w:rsidRDefault="0059404D" w:rsidP="0042202B">
            <w:pPr>
              <w:rPr>
                <w:rFonts w:cstheme="minorHAnsi"/>
                <w:b/>
              </w:rPr>
            </w:pPr>
          </w:p>
          <w:p w14:paraId="04734533" w14:textId="77777777" w:rsidR="0059404D" w:rsidRPr="00832A87" w:rsidRDefault="0059404D" w:rsidP="0042202B">
            <w:pPr>
              <w:rPr>
                <w:rFonts w:cstheme="minorHAnsi"/>
                <w:b/>
              </w:rPr>
            </w:pPr>
          </w:p>
          <w:p w14:paraId="080A7306" w14:textId="77777777" w:rsidR="0059404D" w:rsidRPr="00832A87" w:rsidRDefault="0059404D" w:rsidP="0042202B">
            <w:pPr>
              <w:rPr>
                <w:rFonts w:cstheme="minorHAnsi"/>
                <w:b/>
              </w:rPr>
            </w:pPr>
          </w:p>
          <w:p w14:paraId="4957CE26" w14:textId="77777777" w:rsidR="0059404D" w:rsidRPr="00832A87" w:rsidRDefault="0059404D" w:rsidP="0042202B">
            <w:pPr>
              <w:rPr>
                <w:rFonts w:cstheme="minorHAnsi"/>
                <w:b/>
              </w:rPr>
            </w:pPr>
          </w:p>
          <w:p w14:paraId="4DE978D6" w14:textId="77777777" w:rsidR="0059404D" w:rsidRPr="00832A87" w:rsidRDefault="0059404D" w:rsidP="0042202B">
            <w:pPr>
              <w:rPr>
                <w:rFonts w:cstheme="minorHAnsi"/>
                <w:b/>
              </w:rPr>
            </w:pPr>
          </w:p>
          <w:p w14:paraId="36914490" w14:textId="77777777" w:rsidR="0059404D" w:rsidRPr="00832A87" w:rsidRDefault="0059404D" w:rsidP="0042202B">
            <w:pPr>
              <w:rPr>
                <w:rFonts w:cstheme="minorHAnsi"/>
                <w:b/>
              </w:rPr>
            </w:pPr>
          </w:p>
          <w:p w14:paraId="62E96958" w14:textId="77777777" w:rsidR="0059404D" w:rsidRPr="00832A87" w:rsidRDefault="0059404D" w:rsidP="0042202B">
            <w:pPr>
              <w:rPr>
                <w:rFonts w:cstheme="minorHAnsi"/>
                <w:b/>
              </w:rPr>
            </w:pPr>
          </w:p>
          <w:p w14:paraId="248E8390" w14:textId="77777777" w:rsidR="0059404D" w:rsidRPr="00832A87" w:rsidRDefault="0059404D" w:rsidP="0042202B">
            <w:pPr>
              <w:rPr>
                <w:rFonts w:cstheme="minorHAnsi"/>
                <w:b/>
              </w:rPr>
            </w:pPr>
          </w:p>
          <w:p w14:paraId="363A6C3E" w14:textId="77777777" w:rsidR="0059404D" w:rsidRPr="00832A87" w:rsidRDefault="0059404D" w:rsidP="0042202B">
            <w:pPr>
              <w:rPr>
                <w:rFonts w:cstheme="minorHAnsi"/>
                <w:b/>
              </w:rPr>
            </w:pPr>
          </w:p>
          <w:p w14:paraId="053B1FE9" w14:textId="77777777" w:rsidR="0059404D" w:rsidRPr="00832A87" w:rsidRDefault="0059404D" w:rsidP="0042202B">
            <w:pPr>
              <w:rPr>
                <w:rFonts w:cstheme="minorHAnsi"/>
                <w:b/>
              </w:rPr>
            </w:pPr>
          </w:p>
          <w:p w14:paraId="6D6B4797" w14:textId="77777777" w:rsidR="0059404D" w:rsidRPr="00832A87" w:rsidRDefault="0059404D" w:rsidP="0042202B">
            <w:pPr>
              <w:rPr>
                <w:rFonts w:cstheme="minorHAnsi"/>
                <w:b/>
              </w:rPr>
            </w:pPr>
          </w:p>
          <w:p w14:paraId="529E3A76" w14:textId="77777777" w:rsidR="0059404D" w:rsidRPr="00832A87" w:rsidRDefault="0059404D" w:rsidP="0042202B">
            <w:pPr>
              <w:rPr>
                <w:rFonts w:cstheme="minorHAnsi"/>
                <w:b/>
              </w:rPr>
            </w:pPr>
          </w:p>
          <w:p w14:paraId="7126D2D0" w14:textId="77777777" w:rsidR="0059404D" w:rsidRPr="00832A87" w:rsidRDefault="0059404D" w:rsidP="0042202B">
            <w:pPr>
              <w:rPr>
                <w:rFonts w:cstheme="minorHAnsi"/>
                <w:b/>
              </w:rPr>
            </w:pPr>
          </w:p>
          <w:p w14:paraId="35CC6128" w14:textId="77777777" w:rsidR="0059404D" w:rsidRPr="00832A87" w:rsidRDefault="0059404D" w:rsidP="0042202B">
            <w:pPr>
              <w:rPr>
                <w:rFonts w:cstheme="minorHAnsi"/>
                <w:b/>
              </w:rPr>
            </w:pPr>
          </w:p>
          <w:p w14:paraId="3CA5B45B" w14:textId="77777777" w:rsidR="0059404D" w:rsidRPr="00832A87" w:rsidRDefault="0059404D" w:rsidP="0042202B">
            <w:pPr>
              <w:rPr>
                <w:rFonts w:cstheme="minorHAnsi"/>
                <w:b/>
              </w:rPr>
            </w:pPr>
          </w:p>
          <w:p w14:paraId="23DE1617" w14:textId="77777777" w:rsidR="0059404D" w:rsidRPr="00832A87" w:rsidRDefault="0059404D" w:rsidP="0042202B">
            <w:pPr>
              <w:rPr>
                <w:rFonts w:cstheme="minorHAnsi"/>
                <w:b/>
              </w:rPr>
            </w:pPr>
          </w:p>
          <w:p w14:paraId="5FA9AE1A" w14:textId="77777777" w:rsidR="0059404D" w:rsidRPr="00832A87" w:rsidRDefault="0059404D" w:rsidP="0042202B">
            <w:pPr>
              <w:rPr>
                <w:rFonts w:cstheme="minorHAnsi"/>
                <w:b/>
              </w:rPr>
            </w:pPr>
          </w:p>
          <w:p w14:paraId="207BC017" w14:textId="77777777" w:rsidR="0059404D" w:rsidRPr="00832A87" w:rsidRDefault="0059404D" w:rsidP="0042202B">
            <w:pPr>
              <w:rPr>
                <w:rFonts w:cstheme="minorHAnsi"/>
                <w:b/>
              </w:rPr>
            </w:pPr>
          </w:p>
          <w:p w14:paraId="75CD92E4" w14:textId="77777777" w:rsidR="0059404D" w:rsidRPr="00832A87" w:rsidRDefault="0059404D" w:rsidP="0042202B">
            <w:pPr>
              <w:rPr>
                <w:rFonts w:cstheme="minorHAnsi"/>
                <w:b/>
              </w:rPr>
            </w:pPr>
          </w:p>
          <w:p w14:paraId="297CEB6B" w14:textId="77777777" w:rsidR="0059404D" w:rsidRPr="00832A87" w:rsidRDefault="0059404D" w:rsidP="0042202B">
            <w:pPr>
              <w:rPr>
                <w:rFonts w:cstheme="minorHAnsi"/>
                <w:b/>
              </w:rPr>
            </w:pPr>
          </w:p>
          <w:p w14:paraId="5D1C7370" w14:textId="77777777" w:rsidR="0059404D" w:rsidRPr="00832A87" w:rsidRDefault="0059404D" w:rsidP="0042202B">
            <w:pPr>
              <w:rPr>
                <w:rFonts w:cstheme="minorHAnsi"/>
                <w:b/>
              </w:rPr>
            </w:pPr>
          </w:p>
          <w:p w14:paraId="46C07419" w14:textId="77777777" w:rsidR="0059404D" w:rsidRPr="00832A87" w:rsidRDefault="0059404D" w:rsidP="0042202B">
            <w:pPr>
              <w:rPr>
                <w:rFonts w:cstheme="minorHAnsi"/>
                <w:b/>
              </w:rPr>
            </w:pPr>
          </w:p>
          <w:p w14:paraId="17C281AC" w14:textId="77777777" w:rsidR="0059404D" w:rsidRPr="00832A87" w:rsidRDefault="0059404D" w:rsidP="0042202B">
            <w:pPr>
              <w:rPr>
                <w:rFonts w:cstheme="minorHAnsi"/>
                <w:b/>
              </w:rPr>
            </w:pPr>
          </w:p>
          <w:p w14:paraId="3199A490" w14:textId="77777777" w:rsidR="0059404D" w:rsidRPr="00832A87" w:rsidRDefault="0059404D" w:rsidP="0042202B">
            <w:pPr>
              <w:rPr>
                <w:rFonts w:cstheme="minorHAnsi"/>
                <w:b/>
              </w:rPr>
            </w:pPr>
          </w:p>
          <w:p w14:paraId="4AF82DDF" w14:textId="77777777" w:rsidR="0059404D" w:rsidRPr="00832A87" w:rsidRDefault="0059404D" w:rsidP="0042202B">
            <w:pPr>
              <w:rPr>
                <w:rFonts w:cstheme="minorHAnsi"/>
                <w:b/>
              </w:rPr>
            </w:pPr>
          </w:p>
          <w:p w14:paraId="0198CC56" w14:textId="77777777" w:rsidR="0059404D" w:rsidRPr="00832A87" w:rsidRDefault="0059404D" w:rsidP="0042202B">
            <w:pPr>
              <w:rPr>
                <w:rFonts w:cstheme="minorHAnsi"/>
                <w:b/>
              </w:rPr>
            </w:pPr>
          </w:p>
          <w:p w14:paraId="055CF6BA" w14:textId="77777777" w:rsidR="0059404D" w:rsidRPr="00832A87" w:rsidRDefault="0059404D" w:rsidP="0042202B">
            <w:pPr>
              <w:rPr>
                <w:rFonts w:cstheme="minorHAnsi"/>
                <w:b/>
              </w:rPr>
            </w:pPr>
          </w:p>
          <w:p w14:paraId="5D78EAB7" w14:textId="77777777" w:rsidR="0059404D" w:rsidRPr="00832A87" w:rsidRDefault="0059404D" w:rsidP="0042202B">
            <w:pPr>
              <w:rPr>
                <w:rFonts w:cstheme="minorHAnsi"/>
                <w:b/>
              </w:rPr>
            </w:pPr>
          </w:p>
          <w:p w14:paraId="33938F28" w14:textId="77777777" w:rsidR="0059404D" w:rsidRPr="00832A87" w:rsidRDefault="0059404D" w:rsidP="0042202B">
            <w:pPr>
              <w:rPr>
                <w:rFonts w:cstheme="minorHAnsi"/>
                <w:b/>
              </w:rPr>
            </w:pPr>
          </w:p>
          <w:p w14:paraId="5E26FC0A" w14:textId="77777777" w:rsidR="0059404D" w:rsidRPr="00832A87" w:rsidRDefault="0059404D" w:rsidP="0042202B">
            <w:pPr>
              <w:rPr>
                <w:rFonts w:cstheme="minorHAnsi"/>
                <w:b/>
              </w:rPr>
            </w:pPr>
          </w:p>
          <w:p w14:paraId="491C25AA" w14:textId="77777777" w:rsidR="0059404D" w:rsidRPr="00832A87" w:rsidRDefault="0059404D" w:rsidP="0042202B">
            <w:pPr>
              <w:rPr>
                <w:rFonts w:cstheme="minorHAnsi"/>
                <w:b/>
              </w:rPr>
            </w:pPr>
          </w:p>
          <w:p w14:paraId="70EBBD57" w14:textId="77777777" w:rsidR="0059404D" w:rsidRPr="00832A87" w:rsidRDefault="0059404D" w:rsidP="0042202B">
            <w:pPr>
              <w:rPr>
                <w:rFonts w:cstheme="minorHAnsi"/>
                <w:b/>
              </w:rPr>
            </w:pPr>
          </w:p>
          <w:p w14:paraId="03F42ADA" w14:textId="77777777" w:rsidR="0059404D" w:rsidRPr="00832A87" w:rsidRDefault="0059404D" w:rsidP="0042202B">
            <w:pPr>
              <w:rPr>
                <w:rFonts w:cstheme="minorHAnsi"/>
                <w:b/>
              </w:rPr>
            </w:pPr>
          </w:p>
          <w:p w14:paraId="6A2759D6" w14:textId="77777777" w:rsidR="0059404D" w:rsidRPr="00832A87" w:rsidRDefault="0059404D" w:rsidP="0042202B">
            <w:pPr>
              <w:rPr>
                <w:rFonts w:cstheme="minorHAnsi"/>
                <w:b/>
              </w:rPr>
            </w:pPr>
          </w:p>
          <w:p w14:paraId="7426AC52" w14:textId="77777777" w:rsidR="0059404D" w:rsidRPr="00832A87" w:rsidRDefault="0059404D" w:rsidP="0042202B">
            <w:pPr>
              <w:rPr>
                <w:rFonts w:cstheme="minorHAnsi"/>
                <w:b/>
              </w:rPr>
            </w:pPr>
          </w:p>
          <w:p w14:paraId="4691B588" w14:textId="77777777" w:rsidR="0059404D" w:rsidRPr="00832A87" w:rsidRDefault="0059404D" w:rsidP="0042202B">
            <w:pPr>
              <w:rPr>
                <w:rFonts w:cstheme="minorHAnsi"/>
                <w:b/>
              </w:rPr>
            </w:pPr>
          </w:p>
          <w:p w14:paraId="6DCA0DD6" w14:textId="77777777" w:rsidR="0059404D" w:rsidRPr="00832A87" w:rsidRDefault="0059404D" w:rsidP="0042202B">
            <w:pPr>
              <w:rPr>
                <w:rFonts w:cstheme="minorHAnsi"/>
                <w:b/>
              </w:rPr>
            </w:pPr>
          </w:p>
          <w:p w14:paraId="3C3CA448" w14:textId="77777777" w:rsidR="0059404D" w:rsidRPr="00832A87" w:rsidRDefault="0059404D" w:rsidP="0042202B">
            <w:pPr>
              <w:rPr>
                <w:rFonts w:cstheme="minorHAnsi"/>
                <w:b/>
              </w:rPr>
            </w:pPr>
          </w:p>
          <w:p w14:paraId="605E924F" w14:textId="77777777" w:rsidR="0059404D" w:rsidRPr="00832A87" w:rsidRDefault="0059404D" w:rsidP="0042202B">
            <w:pPr>
              <w:rPr>
                <w:rFonts w:cstheme="minorHAnsi"/>
                <w:b/>
              </w:rPr>
            </w:pPr>
          </w:p>
          <w:p w14:paraId="09DEF3CE" w14:textId="77777777" w:rsidR="0059404D" w:rsidRPr="00832A87" w:rsidRDefault="0059404D" w:rsidP="0042202B">
            <w:pPr>
              <w:rPr>
                <w:rFonts w:cstheme="minorHAnsi"/>
                <w:b/>
              </w:rPr>
            </w:pPr>
          </w:p>
          <w:p w14:paraId="186E5F57" w14:textId="77777777" w:rsidR="0059404D" w:rsidRPr="00832A87" w:rsidRDefault="0059404D" w:rsidP="0042202B">
            <w:pPr>
              <w:rPr>
                <w:rFonts w:cstheme="minorHAnsi"/>
                <w:b/>
              </w:rPr>
            </w:pPr>
          </w:p>
          <w:p w14:paraId="5331A10E" w14:textId="77777777" w:rsidR="0059404D" w:rsidRPr="00832A87" w:rsidRDefault="0059404D" w:rsidP="0042202B">
            <w:pPr>
              <w:rPr>
                <w:rFonts w:cstheme="minorHAnsi"/>
                <w:b/>
              </w:rPr>
            </w:pPr>
          </w:p>
          <w:p w14:paraId="3F4FC6E3" w14:textId="77777777" w:rsidR="0059404D" w:rsidRPr="00832A87" w:rsidRDefault="0059404D" w:rsidP="0042202B">
            <w:pPr>
              <w:rPr>
                <w:rFonts w:cstheme="minorHAnsi"/>
                <w:b/>
              </w:rPr>
            </w:pPr>
          </w:p>
          <w:p w14:paraId="43FDA85B" w14:textId="77777777" w:rsidR="0059404D" w:rsidRPr="00832A87" w:rsidRDefault="0059404D" w:rsidP="0042202B">
            <w:pPr>
              <w:rPr>
                <w:rFonts w:cstheme="minorHAnsi"/>
                <w:b/>
              </w:rPr>
            </w:pPr>
          </w:p>
          <w:p w14:paraId="5F05D8A4" w14:textId="77777777" w:rsidR="0059404D" w:rsidRPr="00832A87" w:rsidRDefault="0059404D" w:rsidP="0042202B">
            <w:pPr>
              <w:rPr>
                <w:rFonts w:cstheme="minorHAnsi"/>
                <w:b/>
              </w:rPr>
            </w:pPr>
          </w:p>
          <w:p w14:paraId="1E58D8D9" w14:textId="77777777" w:rsidR="0059404D" w:rsidRPr="00832A87" w:rsidRDefault="0059404D" w:rsidP="0042202B">
            <w:pPr>
              <w:rPr>
                <w:rFonts w:cstheme="minorHAnsi"/>
                <w:b/>
              </w:rPr>
            </w:pPr>
          </w:p>
          <w:p w14:paraId="4922DDEA" w14:textId="77777777" w:rsidR="0059404D" w:rsidRPr="00832A87" w:rsidRDefault="0059404D" w:rsidP="0042202B">
            <w:pPr>
              <w:rPr>
                <w:rFonts w:cstheme="minorHAnsi"/>
                <w:b/>
              </w:rPr>
            </w:pPr>
          </w:p>
          <w:p w14:paraId="275800CC" w14:textId="77777777" w:rsidR="0059404D" w:rsidRPr="00832A87" w:rsidRDefault="0059404D" w:rsidP="0042202B">
            <w:pPr>
              <w:rPr>
                <w:rFonts w:cstheme="minorHAnsi"/>
                <w:b/>
              </w:rPr>
            </w:pPr>
          </w:p>
          <w:p w14:paraId="430053DA" w14:textId="77777777" w:rsidR="0059404D" w:rsidRPr="00832A87" w:rsidRDefault="0059404D" w:rsidP="0042202B">
            <w:pPr>
              <w:rPr>
                <w:rFonts w:cstheme="minorHAnsi"/>
                <w:b/>
              </w:rPr>
            </w:pPr>
          </w:p>
          <w:p w14:paraId="035915E0" w14:textId="77777777" w:rsidR="0059404D" w:rsidRPr="00832A87" w:rsidRDefault="0059404D" w:rsidP="0042202B">
            <w:pPr>
              <w:rPr>
                <w:rFonts w:cstheme="minorHAnsi"/>
                <w:b/>
              </w:rPr>
            </w:pPr>
          </w:p>
          <w:p w14:paraId="6872BA48" w14:textId="77777777" w:rsidR="0059404D" w:rsidRPr="00832A87" w:rsidRDefault="0059404D" w:rsidP="0042202B">
            <w:pPr>
              <w:rPr>
                <w:rFonts w:cstheme="minorHAnsi"/>
                <w:b/>
              </w:rPr>
            </w:pPr>
          </w:p>
          <w:p w14:paraId="721BF564" w14:textId="77777777" w:rsidR="0059404D" w:rsidRPr="00832A87" w:rsidRDefault="0059404D" w:rsidP="0042202B">
            <w:pPr>
              <w:rPr>
                <w:rFonts w:cstheme="minorHAnsi"/>
                <w:b/>
              </w:rPr>
            </w:pPr>
          </w:p>
          <w:p w14:paraId="1F57C0E2" w14:textId="77777777" w:rsidR="0059404D" w:rsidRPr="00832A87" w:rsidRDefault="0059404D" w:rsidP="0042202B">
            <w:pPr>
              <w:rPr>
                <w:rFonts w:cstheme="minorHAnsi"/>
                <w:b/>
              </w:rPr>
            </w:pPr>
          </w:p>
          <w:p w14:paraId="0D1EDF91" w14:textId="77777777" w:rsidR="0059404D" w:rsidRPr="00832A87" w:rsidRDefault="0059404D" w:rsidP="0042202B">
            <w:pPr>
              <w:rPr>
                <w:rFonts w:cstheme="minorHAnsi"/>
                <w:b/>
              </w:rPr>
            </w:pPr>
          </w:p>
          <w:p w14:paraId="0A2229DB" w14:textId="77777777" w:rsidR="0059404D" w:rsidRPr="00832A87" w:rsidRDefault="0059404D" w:rsidP="0042202B">
            <w:pPr>
              <w:rPr>
                <w:rFonts w:cstheme="minorHAnsi"/>
                <w:b/>
              </w:rPr>
            </w:pPr>
          </w:p>
          <w:p w14:paraId="7F2ABB6C" w14:textId="77777777" w:rsidR="0059404D" w:rsidRPr="00832A87" w:rsidRDefault="0059404D" w:rsidP="0042202B">
            <w:pPr>
              <w:rPr>
                <w:rFonts w:cstheme="minorHAnsi"/>
                <w:b/>
              </w:rPr>
            </w:pPr>
          </w:p>
          <w:p w14:paraId="336A3F24" w14:textId="77777777" w:rsidR="0059404D" w:rsidRPr="00832A87" w:rsidRDefault="0059404D" w:rsidP="0042202B">
            <w:pPr>
              <w:rPr>
                <w:rFonts w:cstheme="minorHAnsi"/>
                <w:b/>
              </w:rPr>
            </w:pPr>
          </w:p>
          <w:p w14:paraId="767FDFB4" w14:textId="77777777" w:rsidR="0059404D" w:rsidRPr="00832A87" w:rsidRDefault="0059404D" w:rsidP="0042202B">
            <w:pPr>
              <w:rPr>
                <w:rFonts w:cstheme="minorHAnsi"/>
                <w:b/>
              </w:rPr>
            </w:pPr>
          </w:p>
          <w:p w14:paraId="3912D747" w14:textId="77777777" w:rsidR="0059404D" w:rsidRPr="00832A87" w:rsidRDefault="0059404D" w:rsidP="0042202B">
            <w:pPr>
              <w:rPr>
                <w:rFonts w:cstheme="minorHAnsi"/>
                <w:b/>
              </w:rPr>
            </w:pPr>
          </w:p>
          <w:p w14:paraId="0DDE91C3" w14:textId="77777777" w:rsidR="0059404D" w:rsidRPr="00832A87" w:rsidRDefault="0059404D" w:rsidP="0042202B">
            <w:pPr>
              <w:rPr>
                <w:rFonts w:cstheme="minorHAnsi"/>
                <w:b/>
              </w:rPr>
            </w:pPr>
          </w:p>
          <w:p w14:paraId="199542A8" w14:textId="77777777" w:rsidR="0059404D" w:rsidRPr="00832A87" w:rsidRDefault="0059404D" w:rsidP="0042202B">
            <w:pPr>
              <w:rPr>
                <w:rFonts w:cstheme="minorHAnsi"/>
                <w:b/>
              </w:rPr>
            </w:pPr>
          </w:p>
          <w:p w14:paraId="1E581007" w14:textId="77777777" w:rsidR="0059404D" w:rsidRPr="00832A87" w:rsidRDefault="0059404D" w:rsidP="0042202B">
            <w:pPr>
              <w:rPr>
                <w:rFonts w:cstheme="minorHAnsi"/>
                <w:b/>
              </w:rPr>
            </w:pPr>
          </w:p>
          <w:p w14:paraId="44271775" w14:textId="77777777" w:rsidR="0059404D" w:rsidRPr="00832A87" w:rsidRDefault="0059404D" w:rsidP="0042202B">
            <w:pPr>
              <w:rPr>
                <w:rFonts w:cstheme="minorHAnsi"/>
                <w:b/>
              </w:rPr>
            </w:pPr>
          </w:p>
          <w:p w14:paraId="7FCBC598" w14:textId="77777777" w:rsidR="0059404D" w:rsidRPr="00832A87" w:rsidRDefault="0059404D" w:rsidP="0042202B">
            <w:pPr>
              <w:rPr>
                <w:rFonts w:cstheme="minorHAnsi"/>
                <w:b/>
              </w:rPr>
            </w:pPr>
          </w:p>
          <w:p w14:paraId="07ECE63B" w14:textId="77777777" w:rsidR="0059404D" w:rsidRPr="00832A87" w:rsidRDefault="0059404D" w:rsidP="0042202B">
            <w:pPr>
              <w:rPr>
                <w:rFonts w:cstheme="minorHAnsi"/>
                <w:b/>
              </w:rPr>
            </w:pPr>
          </w:p>
          <w:p w14:paraId="5D9B10D3" w14:textId="77777777" w:rsidR="0059404D" w:rsidRPr="00832A87" w:rsidRDefault="0059404D" w:rsidP="0042202B">
            <w:pPr>
              <w:rPr>
                <w:rFonts w:cstheme="minorHAnsi"/>
                <w:b/>
              </w:rPr>
            </w:pPr>
          </w:p>
          <w:p w14:paraId="7E28359F" w14:textId="77777777" w:rsidR="0059404D" w:rsidRPr="00832A87" w:rsidRDefault="0059404D" w:rsidP="0042202B">
            <w:pPr>
              <w:rPr>
                <w:rFonts w:cstheme="minorHAnsi"/>
                <w:b/>
              </w:rPr>
            </w:pPr>
          </w:p>
          <w:p w14:paraId="377A2F56" w14:textId="77777777" w:rsidR="0059404D" w:rsidRPr="00832A87" w:rsidRDefault="0059404D" w:rsidP="0042202B">
            <w:pPr>
              <w:rPr>
                <w:rFonts w:cstheme="minorHAnsi"/>
                <w:b/>
              </w:rPr>
            </w:pPr>
          </w:p>
          <w:p w14:paraId="1953303A" w14:textId="77777777" w:rsidR="0059404D" w:rsidRPr="00832A87" w:rsidRDefault="0059404D" w:rsidP="0042202B">
            <w:pPr>
              <w:rPr>
                <w:rFonts w:cstheme="minorHAnsi"/>
                <w:b/>
              </w:rPr>
            </w:pPr>
          </w:p>
          <w:p w14:paraId="3DCD1605" w14:textId="77777777" w:rsidR="0059404D" w:rsidRPr="00832A87" w:rsidRDefault="0059404D" w:rsidP="0042202B">
            <w:pPr>
              <w:rPr>
                <w:rFonts w:cstheme="minorHAnsi"/>
                <w:b/>
              </w:rPr>
            </w:pPr>
          </w:p>
          <w:p w14:paraId="4CDFFBE7" w14:textId="77777777" w:rsidR="0059404D" w:rsidRPr="00832A87" w:rsidRDefault="0059404D" w:rsidP="0042202B">
            <w:pPr>
              <w:rPr>
                <w:rFonts w:cstheme="minorHAnsi"/>
                <w:b/>
              </w:rPr>
            </w:pPr>
          </w:p>
          <w:p w14:paraId="032EFE4F" w14:textId="77777777" w:rsidR="0059404D" w:rsidRPr="00832A87" w:rsidRDefault="0059404D" w:rsidP="0042202B">
            <w:pPr>
              <w:rPr>
                <w:rFonts w:cstheme="minorHAnsi"/>
                <w:b/>
              </w:rPr>
            </w:pPr>
          </w:p>
          <w:p w14:paraId="4B639A55" w14:textId="77777777" w:rsidR="0059404D" w:rsidRPr="00832A87" w:rsidRDefault="0059404D" w:rsidP="0042202B">
            <w:pPr>
              <w:rPr>
                <w:rFonts w:cstheme="minorHAnsi"/>
                <w:b/>
              </w:rPr>
            </w:pPr>
          </w:p>
          <w:p w14:paraId="5ED1B5B2" w14:textId="77777777" w:rsidR="0059404D" w:rsidRPr="00832A87" w:rsidRDefault="0059404D" w:rsidP="0042202B">
            <w:pPr>
              <w:rPr>
                <w:rFonts w:cstheme="minorHAnsi"/>
                <w:b/>
              </w:rPr>
            </w:pPr>
          </w:p>
          <w:p w14:paraId="2A3168CD" w14:textId="77777777" w:rsidR="0059404D" w:rsidRPr="00832A87" w:rsidRDefault="0059404D" w:rsidP="0042202B">
            <w:pPr>
              <w:rPr>
                <w:rFonts w:cstheme="minorHAnsi"/>
                <w:b/>
              </w:rPr>
            </w:pPr>
          </w:p>
          <w:p w14:paraId="1945FFFA" w14:textId="6D996E4E" w:rsidR="0059404D" w:rsidRPr="00832A87" w:rsidRDefault="0059404D" w:rsidP="0042202B">
            <w:pPr>
              <w:rPr>
                <w:rFonts w:cstheme="minorHAnsi"/>
                <w:b/>
              </w:rPr>
            </w:pPr>
          </w:p>
        </w:tc>
        <w:tc>
          <w:tcPr>
            <w:tcW w:w="5953" w:type="dxa"/>
          </w:tcPr>
          <w:p w14:paraId="328B064A" w14:textId="5F9AB8B0" w:rsidR="0059404D" w:rsidRPr="00832A87" w:rsidRDefault="0059404D" w:rsidP="0042202B">
            <w:pPr>
              <w:rPr>
                <w:rFonts w:cstheme="minorHAnsi"/>
                <w:b/>
              </w:rPr>
            </w:pPr>
            <w:r w:rsidRPr="00832A87">
              <w:rPr>
                <w:rFonts w:cstheme="minorHAnsi"/>
                <w:b/>
              </w:rPr>
              <w:t xml:space="preserve">1) w art. 2 pkt 3 i 6 opiniowany projekt dokonuje istotnych zmian w </w:t>
            </w:r>
            <w:r w:rsidRPr="00832A87">
              <w:rPr>
                <w:rFonts w:cstheme="minorHAnsi"/>
                <w:b/>
                <w:i/>
              </w:rPr>
              <w:t>ustawie – Prawo o ruchu drogowym</w:t>
            </w:r>
            <w:r w:rsidRPr="00832A87">
              <w:rPr>
                <w:rFonts w:cstheme="minorHAnsi"/>
                <w:b/>
              </w:rPr>
              <w:t xml:space="preserve"> (dalej jako „ustawa PRD”) wprowadzając obowiązek zarejestrowania pojazdu, który pozostaje na terytorium Rzeczypospolitej Polskiej ponad rok od dnia przekroczenia granicy RP (stosownie bowiem do postanowień art. 1 </w:t>
            </w:r>
            <w:r w:rsidRPr="00832A87">
              <w:rPr>
                <w:rFonts w:cstheme="minorHAnsi"/>
                <w:b/>
                <w:i/>
              </w:rPr>
              <w:t>Konwencji o ruchu drogowym, sporządzonej w Wiedniu w 1968 r.</w:t>
            </w:r>
            <w:r w:rsidRPr="00832A87">
              <w:rPr>
                <w:rFonts w:cstheme="minorHAnsi"/>
                <w:b/>
              </w:rPr>
              <w:t xml:space="preserve"> można odmówić uznania takiego pojazdu za będący w ruchu międzynarodowym) – pod sankcją zatrzymania zagranicznego dowodu rejestracyjnego. Zgodnie z ww. Konwencją, której Polska jest stroną, cyt. </w:t>
            </w:r>
            <w:r w:rsidRPr="00832A87">
              <w:rPr>
                <w:rFonts w:cstheme="minorHAnsi"/>
                <w:b/>
                <w:i/>
                <w:iCs/>
              </w:rPr>
              <w:t>pojazd uważa się za będący w ruchu</w:t>
            </w:r>
            <w:r w:rsidRPr="00832A87">
              <w:rPr>
                <w:rFonts w:cstheme="minorHAnsi"/>
                <w:b/>
              </w:rPr>
              <w:t xml:space="preserve"> </w:t>
            </w:r>
            <w:r w:rsidRPr="00832A87">
              <w:rPr>
                <w:rFonts w:cstheme="minorHAnsi"/>
                <w:b/>
                <w:i/>
                <w:iCs/>
              </w:rPr>
              <w:t xml:space="preserve">międzynarodowym na terytorium danego państwa, jeżeli: </w:t>
            </w:r>
          </w:p>
          <w:p w14:paraId="1A7D0F70" w14:textId="77777777" w:rsidR="0059404D" w:rsidRPr="00832A87" w:rsidRDefault="0059404D" w:rsidP="0042202B">
            <w:pPr>
              <w:rPr>
                <w:rFonts w:cstheme="minorHAnsi"/>
                <w:b/>
                <w:i/>
                <w:iCs/>
              </w:rPr>
            </w:pPr>
            <w:r w:rsidRPr="00832A87">
              <w:rPr>
                <w:rFonts w:cstheme="minorHAnsi"/>
                <w:b/>
                <w:i/>
                <w:iCs/>
              </w:rPr>
              <w:t>1) należy do osoby fizycznej lub prawnej, której stałe miejsce zamieszkania znajduje się poza tym państwem,</w:t>
            </w:r>
          </w:p>
          <w:p w14:paraId="4AC60B43" w14:textId="77777777" w:rsidR="0059404D" w:rsidRPr="00832A87" w:rsidRDefault="0059404D" w:rsidP="0042202B">
            <w:pPr>
              <w:rPr>
                <w:rFonts w:cstheme="minorHAnsi"/>
                <w:b/>
                <w:i/>
                <w:iCs/>
              </w:rPr>
            </w:pPr>
            <w:r w:rsidRPr="00832A87">
              <w:rPr>
                <w:rFonts w:cstheme="minorHAnsi"/>
                <w:b/>
                <w:i/>
                <w:iCs/>
              </w:rPr>
              <w:t>2) nie jest zarejestrowany w tym państwie,</w:t>
            </w:r>
          </w:p>
          <w:p w14:paraId="2AAADF6F" w14:textId="77777777" w:rsidR="0059404D" w:rsidRPr="00832A87" w:rsidRDefault="0059404D" w:rsidP="0042202B">
            <w:pPr>
              <w:rPr>
                <w:rFonts w:cstheme="minorHAnsi"/>
                <w:b/>
                <w:i/>
                <w:iCs/>
              </w:rPr>
            </w:pPr>
            <w:r w:rsidRPr="00832A87">
              <w:rPr>
                <w:rFonts w:cstheme="minorHAnsi"/>
                <w:b/>
                <w:i/>
                <w:iCs/>
              </w:rPr>
              <w:t>3) został czasowo wwieziony do tego państwa</w:t>
            </w:r>
          </w:p>
          <w:p w14:paraId="784A73D9" w14:textId="77777777" w:rsidR="0059404D" w:rsidRPr="00832A87" w:rsidRDefault="0059404D" w:rsidP="0042202B">
            <w:pPr>
              <w:rPr>
                <w:rFonts w:cstheme="minorHAnsi"/>
                <w:b/>
                <w:i/>
                <w:iCs/>
              </w:rPr>
            </w:pPr>
            <w:r w:rsidRPr="00832A87">
              <w:rPr>
                <w:rFonts w:cstheme="minorHAnsi"/>
                <w:b/>
                <w:i/>
                <w:iCs/>
              </w:rPr>
              <w:t>- jednakże każda Umawiająca się Strona może odmówić uznania pojazdu za będący w ruchu międzynarodowym, jeżeli pojazd ten pozostaje na jej terytorium ponad jeden rok, bez dłuższej przerwy, której czas trwania może być ustalony przez tę Umawiającą się Stronę. Zespół pojazdów uważa się za będący w ruchu międzynarodowym, jeżeli co najmniej jeden z pojazdów tego zespołu odpowiada powyższemu określeniu.</w:t>
            </w:r>
          </w:p>
          <w:p w14:paraId="5B4B3375" w14:textId="77777777" w:rsidR="0059404D" w:rsidRPr="00832A87" w:rsidRDefault="0059404D" w:rsidP="0042202B">
            <w:pPr>
              <w:rPr>
                <w:rFonts w:cstheme="minorHAnsi"/>
                <w:b/>
              </w:rPr>
            </w:pPr>
            <w:r w:rsidRPr="00832A87">
              <w:rPr>
                <w:rFonts w:cstheme="minorHAnsi"/>
                <w:b/>
              </w:rPr>
              <w:t>Czasowe ograniczenie dopuszczenia do ruchu przewidziane ww. Konwencją nie zostało jak dotąd określone w ustawie PRD. Jak wynika z uzasadnienia projektowane zmiany ustawowe mają prowadzić do pełniejszego wdrożenia Konwencji, a także skutkować wzmocnieniem porządku publicznego i bezpieczeństwa na polskich drogach, w szczególności przez ograniczenie poruszania się po polskich drogach pojazdami, które nie podlegają w państwach pochodzenia obowiązkom okresowych badań technicznych i w związku ze złym stanem technicznym mogą stanowić zagrożenie na polskich drogach. Nie kwestionując uzasadnienia dla proponowanych regulacji, wskazać należy przede wszystkim na wątpliwości, jakie budzi zaproponowana zmiana do ustawy PRD, której celem jest zobowiązanie cudzoziemców, będących właścicielami lub użytkownikami pojazdów, którzy wjechaliby na terytorium Polski z zamiarem zamieszkania w Polsce na dłuższy okres, do zarejestrowania pojazdu w polskim urzędzie. Obowiązek ten miałby zostać zrealizowany w terminie 30 dni od dnia uzyskania przez właściciela pojazdu stałego miejsca zamieszkania na terytorium Polski.</w:t>
            </w:r>
          </w:p>
          <w:p w14:paraId="6F01F16F" w14:textId="77777777" w:rsidR="0059404D" w:rsidRPr="00832A87" w:rsidRDefault="0059404D" w:rsidP="0042202B">
            <w:pPr>
              <w:rPr>
                <w:rFonts w:cstheme="minorHAnsi"/>
                <w:b/>
              </w:rPr>
            </w:pPr>
            <w:r w:rsidRPr="00832A87">
              <w:rPr>
                <w:rFonts w:cstheme="minorHAnsi"/>
                <w:b/>
              </w:rPr>
              <w:t xml:space="preserve">W pierwszej kolejności należy wskazać, że przewidziany w art. 71 ust. 5b ustawy PRD obowiązek gromadzenia przez Straż Graniczną danych i informacji dotyczących: dnia wjazdu pojazdu zarejestrowanego poza terytorium państw członkowskich, kraju jego rejestracji, właściciela lub posiadacza tego pojazdu, ujęte w dokumencie stwierdzającym dokonanie jego rejestracji oraz ich przekazywanie do Centralnej Ewidencji Pojazdów, może nastręczać pewne trudności. Wskazać należy na wynikający z art. 1 </w:t>
            </w:r>
            <w:r w:rsidRPr="00832A87">
              <w:rPr>
                <w:rFonts w:cstheme="minorHAnsi"/>
                <w:b/>
                <w:i/>
              </w:rPr>
              <w:t xml:space="preserve">rozporządzenia Parlamentu Europejskiego i Rady (UE) 2016/399 z dnia 9 marca 2016 r. w sprawie unijnego kodeksu zasad regulujących przepływ osób przez granice </w:t>
            </w:r>
            <w:r w:rsidRPr="00832A87">
              <w:rPr>
                <w:rFonts w:cstheme="minorHAnsi"/>
                <w:b/>
              </w:rPr>
              <w:t>(kodeks graniczny Schengen) brak obowiązku przeprowadzania kontroli granicznej osób przekraczających granice wewnętrzne pomiędzy państwami członkowskimi UE i innymi państwami stosującymi dorobek prawny Schengen. Podkreślenia wymaga, że kontrola graniczna dotyczy tylko osób przekraczających granice zewnętrzne państw członkowskich UE. Cudzoziemcy mogą zatem wjeżdżać na terytorium Polski nie tylko przez granicę, która jest objęta kontrolą graniczną, ale także mogą przybywać do Polski przez granicę wewnętrzną Schengen i wówczas ich wjazd do Polski nie będzie zarejestrowany. W art. 71 w dodawanym ust. 8 do ustawy PRD uregulowano upoważnienie do wydania przez ministra właściwego do spraw wewnętrznych, w porozumieniu z ministrem właściwym do spraw transportu, ministrem właściwym do spraw informatyzacji oraz ministrem właściwym do spraw finansów publicznych i instytucji finansowych rozporządzenia określającego sposób weryfikacji przez organy rejestrujące pojazdy miejsca stałego zamieszkania, o którym mowa w art. 73aa ust. 1b ustawy z uwzględnieniem innych baz i rejestrów, w których gromadzone są dane o obcokrajowcach. Mając na uwadze brak wystarczających przepisów prawa materialnego w tym zakresie w projektowanej zmianie opracowanie takiego rozporządzenia może być utrudnione. Ponadto, zwrócić należy także uwagę na konieczność posługiwania się pojęciem „cudzoziemiec” ponieważ pojęcie „obcokrajowiec” nie jest używane w obowiązujących w Polsce przepisach prawa.</w:t>
            </w:r>
          </w:p>
          <w:p w14:paraId="389818AD" w14:textId="77777777" w:rsidR="0059404D" w:rsidRPr="00832A87" w:rsidRDefault="0059404D" w:rsidP="0042202B">
            <w:pPr>
              <w:rPr>
                <w:rFonts w:cstheme="minorHAnsi"/>
                <w:b/>
              </w:rPr>
            </w:pPr>
            <w:r w:rsidRPr="00832A87">
              <w:rPr>
                <w:rFonts w:cstheme="minorHAnsi"/>
                <w:b/>
              </w:rPr>
              <w:t xml:space="preserve">Zasadne jest także doprecyzowanie, z jakich baz danych i rejestrów, w których gromadzone są dane cudzoziemców miałyby korzystać organy rejestrujące pojazd. W tym miejscu należy także podkreślić, że dane cudzoziemców gromadzone w prowadzonym w systemie teleinformatycznym przez Szefa Urzędu do Spraw Cudzoziemców krajowym zbiorze rejestrów, ewidencji i wykazie w sprawach cudzoziemców na podstawie art. 449 </w:t>
            </w:r>
            <w:r w:rsidRPr="00832A87">
              <w:rPr>
                <w:rFonts w:cstheme="minorHAnsi"/>
                <w:b/>
                <w:i/>
              </w:rPr>
              <w:t>ustawy</w:t>
            </w:r>
            <w:r w:rsidRPr="00832A87">
              <w:rPr>
                <w:rFonts w:cstheme="minorHAnsi"/>
                <w:b/>
              </w:rPr>
              <w:t xml:space="preserve"> </w:t>
            </w:r>
            <w:r w:rsidRPr="00832A87">
              <w:rPr>
                <w:rFonts w:cstheme="minorHAnsi"/>
                <w:b/>
                <w:i/>
              </w:rPr>
              <w:t>o cudzoziemcach</w:t>
            </w:r>
            <w:r w:rsidRPr="00832A87">
              <w:rPr>
                <w:rFonts w:cstheme="minorHAnsi"/>
                <w:b/>
              </w:rPr>
              <w:t xml:space="preserve"> nie będą pozwalały na ustalenie, czy cudzoziemiec uzyskał miejsce stałego zamieszkania na terytorium Polski, w rozumieniu art. 73aa ust. 1d ustawy PRD. Zgodnie z art. 13 pkt 19 </w:t>
            </w:r>
            <w:r w:rsidRPr="00832A87">
              <w:rPr>
                <w:rFonts w:cstheme="minorHAnsi"/>
                <w:b/>
                <w:i/>
              </w:rPr>
              <w:t>ustawy o cudzoziemcach</w:t>
            </w:r>
            <w:r w:rsidRPr="00832A87">
              <w:rPr>
                <w:rFonts w:cstheme="minorHAnsi"/>
                <w:b/>
              </w:rPr>
              <w:t xml:space="preserve">, który określa katalog danych i informacji, które mogą być przetwarzane w rejestrach i ewidencji prowadzonych na podstawie ww. ustawy przez Szefa Urzędu do Spraw Cudzoziemców, w ww. rejestrach gromadzi się jedynie dane dotyczące miejsca zamieszkania lub pobytu cudzoziemca. Z kolei w formularzach wniosków o udzielenie cudzoziemcowi zezwolenia na pobyt czasowy konieczne jest jedynie wskazanie informacji o aktualnym miejscu pobytu cudzoziemca, natomiast w formularzu wniosku o udzielenie zezwolenia na pobyt stały oraz zezwolenia na pobyt rezydenta długoterminowego UE cudzoziemiec wskazuje miejsce pobytu. Natomiast zgodnie z art. 231 ust. 1 pkt 3 </w:t>
            </w:r>
            <w:r w:rsidRPr="00832A87">
              <w:rPr>
                <w:rFonts w:cstheme="minorHAnsi"/>
                <w:b/>
                <w:i/>
              </w:rPr>
              <w:t>ustawy o cudzoziemcach</w:t>
            </w:r>
            <w:r w:rsidRPr="00832A87">
              <w:rPr>
                <w:rFonts w:cstheme="minorHAnsi"/>
                <w:b/>
              </w:rPr>
              <w:t xml:space="preserve"> cudzoziemiec składa wniosek o wydanie lub wymianę dokumentów, o których mowa w art. 226, tj. karty pobytu, polskiego dokumentu podróży dla cudzoziemca, polskiego dokumentu tożsamości cudzoziemca, tymczasowego polskiego dokumentu podróży dla cudzoziemca, czy dokumentu potwierdzającego posiadanie zgody na pobyt tolerowany o nazwie „zgoda na pobyt tolerowany”, na formularzu zawierającym dane dotyczące adresu zameldowania na pobyt stały lub pobyt czasowy trwający ponad 2 miesiące. Podobnie dane obywateli Ukrainy gromadzone w rejestrze obywateli Ukrainy, którym nadano numer PESEL ze statusem UKR na podstawie art. 6 </w:t>
            </w:r>
            <w:r w:rsidRPr="00832A87">
              <w:rPr>
                <w:rFonts w:cstheme="minorHAnsi"/>
                <w:b/>
                <w:i/>
              </w:rPr>
              <w:t>ustawy o pomocy obywatelom</w:t>
            </w:r>
            <w:r w:rsidRPr="00832A87">
              <w:rPr>
                <w:rFonts w:cstheme="minorHAnsi"/>
                <w:b/>
              </w:rPr>
              <w:t xml:space="preserve"> </w:t>
            </w:r>
            <w:r w:rsidRPr="00832A87">
              <w:rPr>
                <w:rFonts w:cstheme="minorHAnsi"/>
                <w:b/>
                <w:i/>
              </w:rPr>
              <w:t>Ukrainy w związku z konfliktem zbrojnym na terytorium tego państwa</w:t>
            </w:r>
            <w:r w:rsidRPr="00832A87">
              <w:rPr>
                <w:rFonts w:cstheme="minorHAnsi"/>
                <w:b/>
              </w:rPr>
              <w:t xml:space="preserve"> nie będą pozawalały na ustalenie, czy obywatel Ukrainy uzyskał miejsce stałego zamieszkania na terytorium Polski, w rozumieniu art. 73aa ust. 1d ustawy PRD. Zgodnie z art. 4 ust. 1 i 4 ww. ustawy wniosek o nadanie numeru PESEL składany przez obywatela Ukrainy, którego pobyt na terytorium RP uznaje się za legalny na podstawie art. 2 ust. 1 ww. ustawy, nie zawiera nawet informacji o miejscu pobytu cudzoziemca w Polsce.</w:t>
            </w:r>
          </w:p>
          <w:p w14:paraId="3DF7674F" w14:textId="77777777" w:rsidR="0059404D" w:rsidRPr="00832A87" w:rsidRDefault="0059404D" w:rsidP="0042202B">
            <w:pPr>
              <w:rPr>
                <w:rFonts w:cstheme="minorHAnsi"/>
                <w:b/>
              </w:rPr>
            </w:pPr>
            <w:r w:rsidRPr="00832A87">
              <w:rPr>
                <w:rFonts w:cstheme="minorHAnsi"/>
                <w:b/>
              </w:rPr>
              <w:t xml:space="preserve">W art. 71 w dodawanym ust. 9 do ustawy PRD uregulowano upoważnienie do wydania przez ministra właściwego do spraw informatyzacji, w porozumieniu z ministrem właściwym do spraw transportu, ministrem właściwym do spraw wewnętrznych oraz ministrem właściwym do spraw finansów publicznych i instytucji finansowych rozporządzenia określającego zakres i sposób gromadzenia przez Straż Graniczną danych i informacji, o których mowa w art. 71 ust. 5b. W odniesieniu do tej regulacji w kontekście niewystarczających przepisów prawa materialnego należy wskazać, jak powyżej, że opracowanie takiego rozporządzenia może być utrudnione. Dodawany w ustawie PRD art. 73aa ust. 1c nakłada obowiązek rejestracji pojazdu przez jego właściciela po uzyskaniu stałego miejsca zamieszkania w Polsce, a ust. 1d definiuje sam termin stałego miejsca zamieszkania, jako miejsca, w którym osoba fizyczna przebywa lub ma zamiar przebywać przez co najmniej 185 dni w roku kalendarzowym, ze względu na swoje więzi osobiste i zawodowe, a w przypadku osoby niezwiązanej z tym miejscem zawodowo, ze względu na osobiste powiązania, które wskazują na istnienie ścisłych więzi między tą osobą, a miejscem, w którym mieszka. Mając powyższe na uwadze nie sposób nie dostrzec pewnej analogii względem definicji miejsca zamieszkania przyjętej na potrzeby </w:t>
            </w:r>
            <w:r w:rsidRPr="00832A87">
              <w:rPr>
                <w:rFonts w:cstheme="minorHAnsi"/>
                <w:b/>
                <w:i/>
              </w:rPr>
              <w:t>dyrektywy 2006/126/WE Parlamentu Europejskiego i Rady z dnia 20 grudnia 2006 r. w sprawie praw jazdy</w:t>
            </w:r>
            <w:r w:rsidRPr="00832A87">
              <w:rPr>
                <w:rFonts w:cstheme="minorHAnsi"/>
                <w:b/>
              </w:rPr>
              <w:t xml:space="preserve"> (wersja przekształcona) (Dz. Urz. UE L 403 z 30.12.2006, str. 18) (w art. 12), a wdrożonej do polskiego porządku prawnego w ustawie z dnia 5 stycznia 2011 r. </w:t>
            </w:r>
            <w:r w:rsidRPr="00832A87">
              <w:rPr>
                <w:rFonts w:cstheme="minorHAnsi"/>
                <w:b/>
                <w:i/>
              </w:rPr>
              <w:t xml:space="preserve">o kierujących pojazdami. </w:t>
            </w:r>
            <w:r w:rsidRPr="00832A87">
              <w:rPr>
                <w:rFonts w:cstheme="minorHAnsi"/>
                <w:b/>
              </w:rPr>
              <w:t xml:space="preserve">Odnotować należy przy tym, że formułując pozytywne przesłanki do wydania prawa jazdy </w:t>
            </w:r>
            <w:r w:rsidRPr="00832A87">
              <w:rPr>
                <w:rFonts w:cstheme="minorHAnsi"/>
                <w:b/>
                <w:i/>
              </w:rPr>
              <w:t>ustawa o kierujących pojazdami</w:t>
            </w:r>
            <w:r w:rsidRPr="00832A87">
              <w:rPr>
                <w:rFonts w:cstheme="minorHAnsi"/>
                <w:b/>
              </w:rPr>
              <w:t xml:space="preserve"> przyjmuje za wystarczające złożenie przez osobę ubiegającą się o wydanie prawa jazdy oświadczenia pod rygorem odpowiedzialności karnej w odniesieniu do miejsca zamieszkania (art. 11 ust. 1 pkt 5). Tymczasem projektowane w ustawie PRD przepisy zakładają konieczność gromadzenia przez Straż Graniczną danych pozwalających na ustalenie, czy właściciel lub posiadacz pojazdu posiada stałe miejsce zamieszkania w Polsce, co w praktyce oznacza, że nakłada się na organy Straży Granicznej obowiązek pozyskiwania i przekazywania do Centralnej Ewidencji Pojazdów informacji i danych w postaci: daty wjazdu pojazdu na terytorium Polski, kraju jego rejestracji oraz danych właściciela lub posiadacza pojazdu ujętych w dokumencie rejestracyjnym, o których mowa w art. 71 ust. 5b. W kontekście powyższego należy stwierdzić, że nie jest jasne, w jaki sposób miałoby przebiegać ustalenie przez Straż Graniczną daty wjazdu pojazdu do Polski w przypadku, jeśli wjazd nie następowałby z państwa trzeciego, a w związku z przekroczeniem granicy wewnętrznej strefy Schengen, na których regularne kontrole graniczne nie są prowadzone, o czym wspomniano wyżej.</w:t>
            </w:r>
          </w:p>
          <w:p w14:paraId="452DE72D" w14:textId="678AD1A4" w:rsidR="0059404D" w:rsidRPr="00832A87" w:rsidRDefault="0059404D" w:rsidP="0042202B">
            <w:pPr>
              <w:rPr>
                <w:rFonts w:cstheme="minorHAnsi"/>
                <w:b/>
              </w:rPr>
            </w:pPr>
            <w:r w:rsidRPr="00832A87">
              <w:rPr>
                <w:rFonts w:cstheme="minorHAnsi"/>
                <w:b/>
              </w:rPr>
              <w:t>Zaproponowany kształt definicji „miejsca stałego zamieszkania” w art. 73aa ust. 1d ustawy PRD będzie skutkował koniecznością przeprowadzenia przez właściwy organ postępowania wyjaśniającego w celu ustalenia, czy właściciel pojazdu będący cudzoziemcem spełnia warunek uzyskania miejsca stałego zamieszkania w Polsce. Wątpliwe wydaje się również powiązanie spełnienia przesłanki posiadania przez cudzoziemca miejsca stałego zamieszkania w Polsce z przebywaniem w Polsce wyłącznie ze względu na względy osobiste i zawodowe. Taki przepis w literalnym brzmieniu może spowodować zawężenie adresatów zaproponowanych rozwiązań w zakresie rejestracji pojazdów. Należy wskazać, że zgodnie z obowiązującymi w Polsce przepisami cudzoziemcy mogą posiadać w Polsce tytuły pobytowe wydane na okres powyżej 185 dni w celach innych niż zawodowe i osobiste. Cudzoziemcy mogą przebywać w Polsce także w innych celach pobytu takich jak: studia, nauka, szkolenie zawodowe, prowadzenie badań naukowych lub prac rozwojowych. Dodatkowo należy podkreślić, że obecnie pobyt większości obywateli Ukrainy w Polsce wiąże się z korzystaniem w naszym kraju z ochrony czasowej. Dodatkowo można wskazać, że sam fakt posiadania zezwolenia na pobyt czasowy, zezwolenia na pobyt rezydenta długoterminowego UE lub zezwolenia na pobyt stały w Polsce także nie może przesądzać, że cudzoziemiec spełnia ww. warunek. Zezwolenie na pobyt czasowy udzielane jest cudzoziemcowi, jeżeli okoliczności sprawy uzasadniają jego pobyt na terytorium RP przez okres dłuższy niż 3 miesiące. Cudzoziemiec może uzyskać ww. zezwolenia nawet w sytuacji, kiedy będzie przebywał w Polsce krócej niż 185 dni. Podobnie fakt uzyskania przez cudzoziemca zezwolenia na pobyt na czas nieoznaczony (zezwolenia na pobyt stały lub zezwolenia na pobyt rezydenta długoterminowego EU) nie przesądza, że będzie on spełniał przesłankę stałego zamieszkania w Polsce, ponieważ może on posiadając ww. zezwolenia przebywać poza terytorium Polski. Ponadto stwierdzić należy, że załączona ocena skutków regulacji nie przewiduje skutków wprowadzenia zmian w ustawie PRD dla organów migracyjnych innych niż Straż Graniczna, ale określając skutki dla tej instytucji ogranicza się wyłącznie do wskazania na czynności związane z kontrolą ruchu drogowego i realizację uprawnień do zatrzymywania dowodów rejestracyjnych pojazdów, pomijając procedury graniczne służące realizacji nałożonych obowiązków. W świetle projektowanych przepisów Straż Graniczna będzie zobowiązana do dokonywania ustaleń w zakresie stałego miejsca zamieszkania cudzoziemca na terytorium Polski – samodzielnie, bez potrzeby odwoływania się do innych organów „</w:t>
            </w:r>
            <w:r w:rsidRPr="00832A87">
              <w:rPr>
                <w:rFonts w:cstheme="minorHAnsi"/>
                <w:b/>
                <w:i/>
                <w:iCs/>
              </w:rPr>
              <w:t xml:space="preserve">z uwzględnieniem innych baz i rejestrów, w których gromadzone są dane o obcokrajowcach” – </w:t>
            </w:r>
            <w:r w:rsidRPr="00832A87">
              <w:rPr>
                <w:rFonts w:cstheme="minorHAnsi"/>
                <w:b/>
              </w:rPr>
              <w:t>o których mowa w ww. ust. 9 w art. 71 ustawy PRD – co szczególnie w kontekście cytowanego fragmentu należy uznać za nieprecyzyjne narzędzie służące realizacji tych zadań, czy ewentualnego udziału innych podmiotów w tym procesie. Mając na względzie powyżej zasygnalizowane kwestie należy podnieść, że projektowane przepisy wymagają dalszych prac w celu zapewnienia ich wykonalności oraz spójności,  podobnie jak uzupełnienia wymaga treść uzasadnienia i oceny skutków regulacji;</w:t>
            </w:r>
          </w:p>
          <w:p w14:paraId="53996475" w14:textId="77777777" w:rsidR="0059404D" w:rsidRPr="00832A87" w:rsidRDefault="0059404D" w:rsidP="0042202B">
            <w:pPr>
              <w:rPr>
                <w:rFonts w:cstheme="minorHAnsi"/>
                <w:b/>
              </w:rPr>
            </w:pPr>
          </w:p>
          <w:p w14:paraId="4ADB7364" w14:textId="5A3287C4" w:rsidR="0059404D" w:rsidRPr="00832A87" w:rsidRDefault="0059404D" w:rsidP="0042202B">
            <w:pPr>
              <w:rPr>
                <w:rFonts w:cstheme="minorHAnsi"/>
                <w:b/>
              </w:rPr>
            </w:pPr>
            <w:r w:rsidRPr="00832A87">
              <w:rPr>
                <w:rFonts w:cstheme="minorHAnsi"/>
                <w:b/>
              </w:rPr>
              <w:t xml:space="preserve">2) rozpatrując powyższe regulacje od strony Straży Granicznej należy zaproponować w art. 2 pkt 3 projektu wykreślenie lit. b (dot. art. 71 ust. 5b </w:t>
            </w:r>
            <w:r w:rsidRPr="00832A87">
              <w:rPr>
                <w:rFonts w:cstheme="minorHAnsi"/>
                <w:b/>
                <w:i/>
              </w:rPr>
              <w:t>ustawy – Prawo o ruchu drogowym</w:t>
            </w:r>
            <w:r w:rsidRPr="00832A87">
              <w:rPr>
                <w:rFonts w:cstheme="minorHAnsi"/>
                <w:b/>
              </w:rPr>
              <w:t xml:space="preserve">) z uwagi na wskazany wcześniej brak możliwości realizacji zaproponowanego we wskazanym przepisie rozwiązania. Należy zauważyć, że umieszczanie wskazanych danych w Centralnej Ewidencji Pojazdów byłoby dodatkowym zadaniem dla funkcjonariuszy Straży Granicznej, co jednocześnie wydłużyłoby proces odprawy granicznej. W systemach Straży Granicznej są gromadzone dane osoby kierującej, a nie właściciela lub posiadacza pojazdu, w związku z czym gromadzenie danych właściciela lub posiadacza pojazdu wymagałoby dokonania szeregu zmian zarówno w przepisach, jak i systemach informatycznych Straży Granicznej. Jednocześnie należy podkreślić, że w chwili obecnej nie funkcjonuje połączenie systemu CEPIK 2.0 z systemami Straży Granicznej w relacji system-system. Dodatkowo wątpliwości budzi możliwość skutecznego egzekwowania rozwiązań prawnych projektowanych w art. 2 pkt 21 i 22 dotyczących upływu roku od dnia wjazdu na terytorium RP w przypadku pojazdu, o którym mowa w art. 71 ust. 5b </w:t>
            </w:r>
            <w:r w:rsidRPr="00832A87">
              <w:rPr>
                <w:rFonts w:cstheme="minorHAnsi"/>
                <w:b/>
                <w:i/>
              </w:rPr>
              <w:t>ustawy – Prawo o ruchu drogowym</w:t>
            </w:r>
            <w:r w:rsidRPr="00832A87">
              <w:rPr>
                <w:rFonts w:cstheme="minorHAnsi"/>
                <w:b/>
              </w:rPr>
              <w:t xml:space="preserve">. </w:t>
            </w:r>
          </w:p>
          <w:p w14:paraId="0D0A75C7" w14:textId="450E4E15" w:rsidR="0059404D" w:rsidRPr="00832A87" w:rsidRDefault="0059404D" w:rsidP="0042202B">
            <w:pPr>
              <w:rPr>
                <w:rFonts w:cstheme="minorHAnsi"/>
                <w:b/>
              </w:rPr>
            </w:pPr>
            <w:r w:rsidRPr="00832A87">
              <w:rPr>
                <w:rFonts w:cstheme="minorHAnsi"/>
                <w:b/>
              </w:rPr>
              <w:t>Należy mieć na uwadze, że kierowcy wskazanych pojazdów mogą wjeżdżać na terytorium Rzeczypospolitej Polskiej oraz wyjeżdżać przez granice RP z innymi państwami członkowskimi UE (np. Słowacją), w takim przypadku wjazd oraz wyjazd nie będzie odnotowany w systemach informatycznych Straży Granicznej;</w:t>
            </w:r>
          </w:p>
          <w:p w14:paraId="50D6674D" w14:textId="77777777" w:rsidR="0059404D" w:rsidRPr="00832A87" w:rsidRDefault="0059404D" w:rsidP="0042202B">
            <w:pPr>
              <w:rPr>
                <w:rFonts w:cstheme="minorHAnsi"/>
                <w:b/>
              </w:rPr>
            </w:pPr>
          </w:p>
          <w:p w14:paraId="2D79E846" w14:textId="687929B4" w:rsidR="0059404D" w:rsidRPr="00832A87" w:rsidRDefault="0059404D" w:rsidP="0042202B">
            <w:pPr>
              <w:rPr>
                <w:rFonts w:cstheme="minorHAnsi"/>
                <w:b/>
              </w:rPr>
            </w:pPr>
            <w:r w:rsidRPr="00832A87">
              <w:rPr>
                <w:rFonts w:cstheme="minorHAnsi"/>
                <w:b/>
              </w:rPr>
              <w:t xml:space="preserve">3) ponadto należy zauważyć, że w odniesieniu do proponowanych w art. 2 projektu (zmieniającym </w:t>
            </w:r>
            <w:r w:rsidRPr="00832A87">
              <w:rPr>
                <w:rFonts w:cstheme="minorHAnsi"/>
                <w:b/>
                <w:i/>
              </w:rPr>
              <w:t>ustawę – Prawo o ruchu drogowym</w:t>
            </w:r>
            <w:r w:rsidRPr="00832A87">
              <w:rPr>
                <w:rFonts w:cstheme="minorHAnsi"/>
                <w:b/>
              </w:rPr>
              <w:t>) regulacji dotyczących ruchu międzynarodowego, brak jest przepisów określających dalsze postępowanie z pojazdem usuniętym na podstawie nowych przesłanek, dotyczących m. in. braku dopuszczenia do ruchu pojazdu zarejestrowanego w państwie trzecim lub niezgodności z warunkami technicznymi określonymi w </w:t>
            </w:r>
            <w:r w:rsidRPr="00832A87">
              <w:rPr>
                <w:rFonts w:cstheme="minorHAnsi"/>
                <w:b/>
                <w:i/>
              </w:rPr>
              <w:t>Konwencji o ruchu drogowym sporządzonej w Wiedniu dnia 8 listopada 1968 r.</w:t>
            </w:r>
            <w:r w:rsidRPr="00832A87">
              <w:rPr>
                <w:rFonts w:cstheme="minorHAnsi"/>
                <w:b/>
              </w:rPr>
              <w:t xml:space="preserve"> oraz postępowania z zatrzymanym dowodem rejestracyjnym. W tym zakresie projekt wymaga uzupełnienia. W proponowanym kształcie we wskazanych przypadkach będą miały zastosowanie dotychczasowe przepisy, co spowoduje, że pojazd usunięty z drogi zostanie wydany bez żadnych dodatkowych obwarowań (m. in. bez wniesienia opłaty za usunięcie i przechowanie na parkingu), a dowód rejestracyjny – po upływie 7 dni, w trakcie których będzie pozostawał w jednostce Policji – zostanie przekazany do przedstawicielstwa państwa rejestracji pojazdu. W związku z tym Ministerstwo Spraw Wewnętrznych i Administracji dostrzega potrzebę prowadzenia dalszych prac legislacyjnych w celu wypracowania rozwiązań zapewniających skuteczne egzekwowanie przepisów regulujących pozostawanie w ruchu międzynarodowym, na terytorium Polski, pojazdów zarejestrowanych w państwach spoza Unii Europejskiej.</w:t>
            </w:r>
          </w:p>
        </w:tc>
        <w:tc>
          <w:tcPr>
            <w:tcW w:w="3827" w:type="dxa"/>
          </w:tcPr>
          <w:p w14:paraId="621AF297" w14:textId="19FCE744" w:rsidR="0059404D" w:rsidRDefault="0059404D" w:rsidP="0042202B">
            <w:pPr>
              <w:rPr>
                <w:rFonts w:cstheme="minorHAnsi"/>
                <w:b/>
              </w:rPr>
            </w:pPr>
            <w:r w:rsidRPr="00832A87">
              <w:rPr>
                <w:rFonts w:cstheme="minorHAnsi"/>
                <w:b/>
              </w:rPr>
              <w:t>W związku ze zgłoszonymi uwagami oraz uwzględniając robocze spotkanie w projekcie zaproponowan</w:t>
            </w:r>
            <w:r>
              <w:rPr>
                <w:rFonts w:cstheme="minorHAnsi"/>
                <w:b/>
              </w:rPr>
              <w:t>o</w:t>
            </w:r>
            <w:r w:rsidRPr="00832A87">
              <w:rPr>
                <w:rFonts w:cstheme="minorHAnsi"/>
                <w:b/>
              </w:rPr>
              <w:t xml:space="preserve"> nowe brzmienie dodawanego do art. 71 ust. 5b</w:t>
            </w:r>
            <w:r>
              <w:rPr>
                <w:rFonts w:cstheme="minorHAnsi"/>
                <w:b/>
              </w:rPr>
              <w:t>:</w:t>
            </w:r>
          </w:p>
          <w:p w14:paraId="4F83C7D8" w14:textId="458D8B04" w:rsidR="0059404D" w:rsidRPr="00832A87" w:rsidRDefault="0059404D" w:rsidP="0042202B">
            <w:pPr>
              <w:rPr>
                <w:rFonts w:cstheme="minorHAnsi"/>
                <w:b/>
              </w:rPr>
            </w:pPr>
            <w:r w:rsidRPr="00832A87">
              <w:rPr>
                <w:rFonts w:cstheme="minorHAnsi"/>
                <w:b/>
              </w:rPr>
              <w:t xml:space="preserve"> </w:t>
            </w:r>
          </w:p>
          <w:p w14:paraId="3B762FAB" w14:textId="70ABE6C9" w:rsidR="0059404D" w:rsidRPr="00832A87" w:rsidRDefault="0059404D" w:rsidP="0042202B">
            <w:pPr>
              <w:rPr>
                <w:rFonts w:cstheme="minorHAnsi"/>
                <w:b/>
                <w:i/>
              </w:rPr>
            </w:pPr>
            <w:r w:rsidRPr="00832A87">
              <w:rPr>
                <w:rFonts w:cstheme="minorHAnsi"/>
                <w:b/>
                <w:i/>
              </w:rPr>
              <w:t>„5b.</w:t>
            </w:r>
            <w:r>
              <w:rPr>
                <w:rFonts w:cstheme="minorHAnsi"/>
                <w:b/>
                <w:i/>
              </w:rPr>
              <w:t xml:space="preserve"> </w:t>
            </w:r>
            <w:r w:rsidRPr="00832A87">
              <w:rPr>
                <w:rFonts w:cstheme="minorHAnsi"/>
                <w:b/>
                <w:i/>
              </w:rPr>
              <w:t>Pojazd zarejestrowany na terytorium państwa niebędącego państwem członkowskim dopuszcza się do ruchu w okresie roku od dnia wjazdu na terytorium Rzeczypospolitej Polskiej, jeżeli właściciel lub posiadacz pojazdu nie posiada miejsca stałego zamieszkania na terytorium Rzeczypospolitej Polskiej. Informacj</w:t>
            </w:r>
            <w:r>
              <w:rPr>
                <w:rFonts w:cstheme="minorHAnsi"/>
                <w:b/>
                <w:i/>
              </w:rPr>
              <w:t>a</w:t>
            </w:r>
            <w:r w:rsidRPr="00832A87">
              <w:rPr>
                <w:rFonts w:cstheme="minorHAnsi"/>
                <w:b/>
                <w:i/>
              </w:rPr>
              <w:t xml:space="preserve"> o dniu wjazdu pojazdu na terytorium Rzeczypospolitej Polskiej, o dniu wyjazdu pojazdu z terytorium Rzeczypospolitej Polskiej, kraju rejestracji pojazdu oraz o numerze rejestracyjnym pojazdu, a także dane kierującego pojazdem oraz informacja, czy jest on właścicielem pojazdu, ujętym w dokumencie stwierdzającym dokonanie jego rejestracji, udostępniane są przez Straż Graniczną do </w:t>
            </w:r>
            <w:r w:rsidRPr="00934847">
              <w:rPr>
                <w:rFonts w:cstheme="minorHAnsi"/>
                <w:b/>
                <w:i/>
              </w:rPr>
              <w:t>organu kontroli ruchu drogowego</w:t>
            </w:r>
            <w:r w:rsidRPr="00832A87">
              <w:rPr>
                <w:rFonts w:cstheme="minorHAnsi"/>
                <w:b/>
                <w:i/>
              </w:rPr>
              <w:t>.”</w:t>
            </w:r>
          </w:p>
          <w:p w14:paraId="400F9820" w14:textId="77777777" w:rsidR="0059404D" w:rsidRPr="00832A87" w:rsidRDefault="0059404D" w:rsidP="0042202B">
            <w:pPr>
              <w:rPr>
                <w:rFonts w:cstheme="minorHAnsi"/>
                <w:b/>
              </w:rPr>
            </w:pPr>
          </w:p>
          <w:p w14:paraId="71D04A98" w14:textId="3ED97867" w:rsidR="0059404D" w:rsidRPr="00832A87" w:rsidRDefault="0059404D" w:rsidP="0042202B">
            <w:pPr>
              <w:rPr>
                <w:rFonts w:cstheme="minorHAnsi"/>
                <w:b/>
              </w:rPr>
            </w:pPr>
            <w:r w:rsidRPr="00832A87">
              <w:rPr>
                <w:rFonts w:cstheme="minorHAnsi"/>
                <w:b/>
              </w:rPr>
              <w:t>Ponadto do art. 71 zaproponowane zostanie dodanie ust. 5c i 5d określających przerwę wliczaną do rocznego okresu dopuszczenia do ruchu międzynarodowego</w:t>
            </w:r>
            <w:r>
              <w:rPr>
                <w:rFonts w:cstheme="minorHAnsi"/>
                <w:b/>
              </w:rPr>
              <w:t>,</w:t>
            </w:r>
            <w:r w:rsidRPr="00832A87">
              <w:rPr>
                <w:rFonts w:cstheme="minorHAnsi"/>
                <w:b/>
              </w:rPr>
              <w:t xml:space="preserve"> w jakiej pojazd</w:t>
            </w:r>
            <w:r w:rsidRPr="00832A87">
              <w:rPr>
                <w:b/>
              </w:rPr>
              <w:t xml:space="preserve"> </w:t>
            </w:r>
            <w:r w:rsidRPr="00832A87">
              <w:rPr>
                <w:rFonts w:cstheme="minorHAnsi"/>
                <w:b/>
              </w:rPr>
              <w:t>zarejestrowany na terytorium państwa niebędącego państwem członkowskim przebywa poza terytoriom Rzeczypospolitej Polskiej.</w:t>
            </w:r>
          </w:p>
          <w:p w14:paraId="5EC7DA9E" w14:textId="4E89B017" w:rsidR="0059404D" w:rsidRPr="00832A87" w:rsidRDefault="0059404D" w:rsidP="0042202B">
            <w:pPr>
              <w:rPr>
                <w:rFonts w:cstheme="minorHAnsi"/>
                <w:b/>
                <w:i/>
              </w:rPr>
            </w:pPr>
            <w:r w:rsidRPr="00832A87">
              <w:rPr>
                <w:rFonts w:cstheme="minorHAnsi"/>
                <w:b/>
                <w:i/>
              </w:rPr>
              <w:t>„5c. Jeżeli pojazd zarejestrowany na terytorium państwa niebędącego państwem członkowskim opuści terytoriom Rzeczypospolitej Polskiej na czas trwający nieprzerwanie 90 dni lub krótszy, czas ten jest wliczany do okresu roku, o którym</w:t>
            </w:r>
            <w:r>
              <w:rPr>
                <w:rFonts w:cstheme="minorHAnsi"/>
                <w:b/>
                <w:i/>
              </w:rPr>
              <w:t xml:space="preserve"> </w:t>
            </w:r>
            <w:r w:rsidRPr="00832A87">
              <w:rPr>
                <w:rFonts w:cstheme="minorHAnsi"/>
                <w:b/>
                <w:i/>
              </w:rPr>
              <w:t>mowa w ust. 5b.</w:t>
            </w:r>
          </w:p>
          <w:p w14:paraId="49596173" w14:textId="1300CFE1" w:rsidR="0059404D" w:rsidRPr="00832A87" w:rsidRDefault="0059404D" w:rsidP="0042202B">
            <w:pPr>
              <w:rPr>
                <w:rFonts w:cstheme="minorHAnsi"/>
                <w:b/>
                <w:i/>
              </w:rPr>
            </w:pPr>
            <w:r w:rsidRPr="00832A87">
              <w:rPr>
                <w:rFonts w:cstheme="minorHAnsi"/>
                <w:b/>
                <w:i/>
              </w:rPr>
              <w:t>5d. Jeżeli pojazd zarejestrowany na terytorium państwa niebędącego państwem członkowskim opuści terytorium Rzeczypospolitej Polskiej na czas trwający nieprzerwanie powyżej 90 dni, okres roku, o którym mowa w ust. 5b, liczony jest</w:t>
            </w:r>
            <w:r>
              <w:rPr>
                <w:rFonts w:cstheme="minorHAnsi"/>
                <w:b/>
                <w:i/>
              </w:rPr>
              <w:t xml:space="preserve"> </w:t>
            </w:r>
            <w:r w:rsidRPr="00832A87">
              <w:rPr>
                <w:rFonts w:cstheme="minorHAnsi"/>
                <w:b/>
                <w:i/>
              </w:rPr>
              <w:t>od dnia ponownego wjazdu na terytorium Rzeczypospolitej Polskiej.”</w:t>
            </w:r>
          </w:p>
          <w:p w14:paraId="61085167" w14:textId="77777777" w:rsidR="0059404D" w:rsidRPr="00832A87" w:rsidRDefault="0059404D" w:rsidP="0042202B">
            <w:pPr>
              <w:rPr>
                <w:rFonts w:cstheme="minorHAnsi"/>
                <w:b/>
              </w:rPr>
            </w:pPr>
          </w:p>
          <w:p w14:paraId="6F65FF27" w14:textId="168A56A8" w:rsidR="0059404D" w:rsidRPr="00832A87" w:rsidRDefault="0059404D" w:rsidP="0042202B">
            <w:pPr>
              <w:rPr>
                <w:rFonts w:cstheme="minorHAnsi"/>
                <w:b/>
              </w:rPr>
            </w:pPr>
            <w:r w:rsidRPr="00832A87">
              <w:rPr>
                <w:rFonts w:cstheme="minorHAnsi"/>
                <w:b/>
              </w:rPr>
              <w:t>W związku z uwagami MSWiA zrezygnowano z</w:t>
            </w:r>
            <w:r w:rsidRPr="00832A87">
              <w:rPr>
                <w:b/>
              </w:rPr>
              <w:t xml:space="preserve"> </w:t>
            </w:r>
            <w:r w:rsidRPr="00832A87">
              <w:rPr>
                <w:rFonts w:cstheme="minorHAnsi"/>
                <w:b/>
              </w:rPr>
              <w:t>przepis</w:t>
            </w:r>
            <w:r>
              <w:rPr>
                <w:rFonts w:cstheme="minorHAnsi"/>
                <w:b/>
              </w:rPr>
              <w:t>ów</w:t>
            </w:r>
            <w:r w:rsidRPr="00832A87">
              <w:rPr>
                <w:rFonts w:cstheme="minorHAnsi"/>
                <w:b/>
              </w:rPr>
              <w:t xml:space="preserve"> upoważniając</w:t>
            </w:r>
            <w:r>
              <w:rPr>
                <w:rFonts w:cstheme="minorHAnsi"/>
                <w:b/>
              </w:rPr>
              <w:t>ych</w:t>
            </w:r>
            <w:r w:rsidRPr="00832A87">
              <w:rPr>
                <w:rFonts w:cstheme="minorHAnsi"/>
                <w:b/>
              </w:rPr>
              <w:t xml:space="preserve"> dodawan</w:t>
            </w:r>
            <w:r>
              <w:rPr>
                <w:rFonts w:cstheme="minorHAnsi"/>
                <w:b/>
              </w:rPr>
              <w:t>ych</w:t>
            </w:r>
            <w:r w:rsidRPr="00832A87">
              <w:rPr>
                <w:rFonts w:cstheme="minorHAnsi"/>
                <w:b/>
              </w:rPr>
              <w:t xml:space="preserve"> do art. 71 w ust. 8</w:t>
            </w:r>
            <w:r>
              <w:rPr>
                <w:rFonts w:cstheme="minorHAnsi"/>
                <w:b/>
              </w:rPr>
              <w:t xml:space="preserve"> i 9</w:t>
            </w:r>
            <w:r w:rsidRPr="00832A87">
              <w:rPr>
                <w:rFonts w:cstheme="minorHAnsi"/>
                <w:b/>
              </w:rPr>
              <w:t xml:space="preserve">. Zrezygnowano również </w:t>
            </w:r>
            <w:r>
              <w:rPr>
                <w:rFonts w:cstheme="minorHAnsi"/>
                <w:b/>
              </w:rPr>
              <w:t xml:space="preserve">z </w:t>
            </w:r>
            <w:r w:rsidRPr="00832A87">
              <w:rPr>
                <w:rFonts w:cstheme="minorHAnsi"/>
                <w:b/>
              </w:rPr>
              <w:t>dodania ust. 1d do art. 73aa. Z kolei w przypadku ust. 1c dodawanego do art. 73aa zaproponowano następujące brzmienie</w:t>
            </w:r>
          </w:p>
          <w:p w14:paraId="36FA6DA9" w14:textId="77777777" w:rsidR="0059404D" w:rsidRPr="00832A87" w:rsidRDefault="0059404D" w:rsidP="0042202B">
            <w:pPr>
              <w:rPr>
                <w:rFonts w:cstheme="minorHAnsi"/>
                <w:b/>
                <w:i/>
              </w:rPr>
            </w:pPr>
            <w:r w:rsidRPr="00832A87">
              <w:rPr>
                <w:rFonts w:cstheme="minorHAnsi"/>
                <w:b/>
                <w:i/>
              </w:rPr>
              <w:t>„1c. Jeżeli właściciel pojazdu, o którym mowa w art. 71 ust. 5b, przed upływem roku od dnia wjazdu na terytorium Rzeczypospolitej Polskiej, złoży:</w:t>
            </w:r>
          </w:p>
          <w:p w14:paraId="404DB4DA" w14:textId="77777777" w:rsidR="0059404D" w:rsidRPr="00832A87" w:rsidRDefault="0059404D" w:rsidP="0042202B">
            <w:pPr>
              <w:ind w:left="318"/>
              <w:rPr>
                <w:rFonts w:cstheme="minorHAnsi"/>
                <w:b/>
                <w:i/>
              </w:rPr>
            </w:pPr>
            <w:r w:rsidRPr="00832A87">
              <w:rPr>
                <w:rFonts w:cstheme="minorHAnsi"/>
                <w:b/>
                <w:i/>
              </w:rPr>
              <w:t>1) wniosek o udzielenie cudzoziemcowi zezwolenia na pobyt czasowy albo</w:t>
            </w:r>
          </w:p>
          <w:p w14:paraId="001FDB7A" w14:textId="77777777" w:rsidR="0059404D" w:rsidRPr="00832A87" w:rsidRDefault="0059404D" w:rsidP="0042202B">
            <w:pPr>
              <w:ind w:left="318"/>
              <w:rPr>
                <w:rFonts w:cstheme="minorHAnsi"/>
                <w:b/>
                <w:i/>
              </w:rPr>
            </w:pPr>
            <w:r w:rsidRPr="00832A87">
              <w:rPr>
                <w:rFonts w:cstheme="minorHAnsi"/>
                <w:b/>
                <w:i/>
              </w:rPr>
              <w:t>2) wniosek o udzielenie cudzoziemcowi zezwolenia na pobyt stały albo</w:t>
            </w:r>
          </w:p>
          <w:p w14:paraId="61338759" w14:textId="52E8FFAF" w:rsidR="0059404D" w:rsidRPr="00832A87" w:rsidRDefault="0059404D" w:rsidP="0042202B">
            <w:pPr>
              <w:ind w:left="318"/>
              <w:rPr>
                <w:rFonts w:cstheme="minorHAnsi"/>
                <w:b/>
                <w:i/>
              </w:rPr>
            </w:pPr>
            <w:r w:rsidRPr="00832A87">
              <w:rPr>
                <w:rFonts w:cstheme="minorHAnsi"/>
                <w:b/>
                <w:i/>
              </w:rPr>
              <w:t>3) wniosek o zezwoleni na pobyt rezydenta długoterminowego Unii Europejskiej</w:t>
            </w:r>
          </w:p>
          <w:p w14:paraId="10DC4BBC" w14:textId="77777777" w:rsidR="0059404D" w:rsidRPr="00832A87" w:rsidRDefault="0059404D" w:rsidP="0042202B">
            <w:pPr>
              <w:rPr>
                <w:rFonts w:cstheme="minorHAnsi"/>
                <w:b/>
                <w:i/>
              </w:rPr>
            </w:pPr>
            <w:r w:rsidRPr="00832A87">
              <w:rPr>
                <w:rFonts w:cstheme="minorHAnsi"/>
                <w:b/>
                <w:i/>
              </w:rPr>
              <w:t>jest zobowiązany złożyć wniosek o rejestrację pojazdu w terminie 30 dni od dnia złożenia wniosku, o którym mowa w pkt 1-3.”</w:t>
            </w:r>
          </w:p>
          <w:p w14:paraId="7D9DB069" w14:textId="77777777" w:rsidR="0059404D" w:rsidRPr="00832A87" w:rsidRDefault="0059404D" w:rsidP="0042202B">
            <w:pPr>
              <w:rPr>
                <w:rFonts w:cstheme="minorHAnsi"/>
                <w:b/>
              </w:rPr>
            </w:pPr>
          </w:p>
          <w:p w14:paraId="2E90A617" w14:textId="4D9597F0" w:rsidR="0059404D" w:rsidRDefault="0059404D" w:rsidP="0042202B">
            <w:pPr>
              <w:rPr>
                <w:rFonts w:cstheme="minorHAnsi"/>
                <w:b/>
              </w:rPr>
            </w:pPr>
            <w:r w:rsidRPr="00832A87">
              <w:rPr>
                <w:rFonts w:cstheme="minorHAnsi"/>
                <w:b/>
              </w:rPr>
              <w:t>W zakresie zmian dotyczących art. 130a</w:t>
            </w:r>
            <w:r>
              <w:rPr>
                <w:rFonts w:cstheme="minorHAnsi"/>
                <w:b/>
              </w:rPr>
              <w:t xml:space="preserve"> we współpracy z MSWiA zaproponowano wprowadzenie systemu kaucyjnego rozszerzono delegację ustawowa ministra do praw wewnętrznych: o możliwość określenia wzoru </w:t>
            </w:r>
            <w:r w:rsidRPr="0040491B">
              <w:rPr>
                <w:rFonts w:cstheme="minorHAnsi"/>
                <w:b/>
              </w:rPr>
              <w:t>zezwolenia wystawionego przez podmiot, który wydał dyspozycję usunięcia pojazdu</w:t>
            </w:r>
            <w:r>
              <w:rPr>
                <w:rFonts w:cstheme="minorHAnsi"/>
                <w:b/>
              </w:rPr>
              <w:t xml:space="preserve">, wystawianego w celu jego odbioru oraz o wskazanie sposób </w:t>
            </w:r>
            <w:r w:rsidRPr="0040491B">
              <w:rPr>
                <w:rFonts w:cstheme="minorHAnsi"/>
                <w:b/>
              </w:rPr>
              <w:t>odbioru pojazdu z parkingu strzeżonego</w:t>
            </w:r>
            <w:r>
              <w:rPr>
                <w:rFonts w:cstheme="minorHAnsi"/>
                <w:b/>
              </w:rPr>
              <w:t>.</w:t>
            </w:r>
            <w:r w:rsidRPr="0040491B" w:rsidDel="00843083">
              <w:rPr>
                <w:rFonts w:cstheme="minorHAnsi"/>
                <w:b/>
              </w:rPr>
              <w:t xml:space="preserve"> </w:t>
            </w:r>
            <w:r>
              <w:rPr>
                <w:rFonts w:cstheme="minorHAnsi"/>
                <w:b/>
              </w:rPr>
              <w:t>W art. 130a zaproponowano następujące zmiany:</w:t>
            </w:r>
          </w:p>
          <w:p w14:paraId="3EEFF90F" w14:textId="4A5D32F2" w:rsidR="0059404D" w:rsidRPr="002C5640" w:rsidRDefault="0059404D" w:rsidP="0042202B">
            <w:pPr>
              <w:rPr>
                <w:rFonts w:cstheme="minorHAnsi"/>
                <w:b/>
                <w:i/>
              </w:rPr>
            </w:pPr>
            <w:r w:rsidRPr="002C5640">
              <w:rPr>
                <w:rFonts w:cstheme="minorHAnsi"/>
                <w:b/>
                <w:i/>
              </w:rPr>
              <w:t>„a)w ust. 1 po pkt 1 dodaje się pkt 1a w brzmieniu:</w:t>
            </w:r>
          </w:p>
          <w:p w14:paraId="0778965B" w14:textId="660CA76C" w:rsidR="0059404D" w:rsidRPr="002C5640" w:rsidRDefault="0059404D" w:rsidP="0042202B">
            <w:pPr>
              <w:rPr>
                <w:rFonts w:cstheme="minorHAnsi"/>
                <w:b/>
                <w:i/>
              </w:rPr>
            </w:pPr>
            <w:r w:rsidRPr="002C5640">
              <w:rPr>
                <w:rFonts w:cstheme="minorHAnsi"/>
                <w:b/>
                <w:i/>
              </w:rPr>
              <w:t xml:space="preserve"> „1a)poruszania się pojazdem, po upływie roku od dnia wjazdu na terytorium Rzeczypospolitej Polskiej w przypadku pojazdu, o którym mowa w art. 71 ust. 5b;”</w:t>
            </w:r>
          </w:p>
          <w:p w14:paraId="382CCB18" w14:textId="2277B94E" w:rsidR="0059404D" w:rsidRPr="002C5640" w:rsidRDefault="0059404D" w:rsidP="0042202B">
            <w:pPr>
              <w:rPr>
                <w:rFonts w:cstheme="minorHAnsi"/>
                <w:b/>
                <w:i/>
              </w:rPr>
            </w:pPr>
            <w:r w:rsidRPr="002C5640">
              <w:rPr>
                <w:rFonts w:cstheme="minorHAnsi"/>
                <w:b/>
                <w:i/>
              </w:rPr>
              <w:t>b)w ust. 7 pkt 2 kropkę zastępuje się średnikiem i dodaje pkt 3 w brzmieniu:</w:t>
            </w:r>
          </w:p>
          <w:p w14:paraId="29782DBD" w14:textId="224B7BA7" w:rsidR="0059404D" w:rsidRPr="002C5640" w:rsidRDefault="0059404D" w:rsidP="0042202B">
            <w:pPr>
              <w:rPr>
                <w:rFonts w:cstheme="minorHAnsi"/>
                <w:b/>
                <w:i/>
              </w:rPr>
            </w:pPr>
            <w:r w:rsidRPr="002C5640">
              <w:rPr>
                <w:rFonts w:cstheme="minorHAnsi"/>
                <w:b/>
                <w:i/>
              </w:rPr>
              <w:t>„3)</w:t>
            </w:r>
            <w:r>
              <w:rPr>
                <w:rFonts w:cstheme="minorHAnsi"/>
                <w:b/>
                <w:i/>
              </w:rPr>
              <w:t xml:space="preserve"> </w:t>
            </w:r>
            <w:r w:rsidRPr="002C5640">
              <w:rPr>
                <w:rFonts w:cstheme="minorHAnsi"/>
                <w:b/>
                <w:i/>
              </w:rPr>
              <w:t>zezwolenia wystawionego przez podmiot, który wydał dyspozycję usunięcia pojazdu.”</w:t>
            </w:r>
          </w:p>
          <w:p w14:paraId="027F7339" w14:textId="3C41E32C" w:rsidR="0059404D" w:rsidRPr="002C5640" w:rsidRDefault="0059404D" w:rsidP="0042202B">
            <w:pPr>
              <w:rPr>
                <w:rFonts w:cstheme="minorHAnsi"/>
                <w:b/>
                <w:i/>
              </w:rPr>
            </w:pPr>
            <w:r w:rsidRPr="002C5640">
              <w:rPr>
                <w:rFonts w:cstheme="minorHAnsi"/>
                <w:b/>
                <w:i/>
              </w:rPr>
              <w:t>c)dodanie ust. 7a-7e w brzmieniu:</w:t>
            </w:r>
          </w:p>
          <w:p w14:paraId="6E73F0BA" w14:textId="44D37FEC" w:rsidR="0059404D" w:rsidRPr="002C5640" w:rsidRDefault="0059404D" w:rsidP="0042202B">
            <w:pPr>
              <w:rPr>
                <w:rFonts w:cstheme="minorHAnsi"/>
                <w:b/>
                <w:i/>
              </w:rPr>
            </w:pPr>
            <w:r w:rsidRPr="002C5640">
              <w:rPr>
                <w:rFonts w:cstheme="minorHAnsi"/>
                <w:b/>
                <w:i/>
              </w:rPr>
              <w:t>„7a.</w:t>
            </w:r>
            <w:r>
              <w:rPr>
                <w:rFonts w:cstheme="minorHAnsi"/>
                <w:b/>
                <w:i/>
              </w:rPr>
              <w:t xml:space="preserve"> </w:t>
            </w:r>
            <w:r w:rsidRPr="002C5640">
              <w:rPr>
                <w:rFonts w:cstheme="minorHAnsi"/>
                <w:b/>
                <w:i/>
              </w:rPr>
              <w:t>Wydanie z parkingu strzeżonego pojazdu usuniętego w przypadku, o którym mowa w ust. 1 pkt 1a, następuje po okazaniu dowodu uiszczenia kaucji w wysokości odpowiadającej przewidywanej opłacie, o której mowa w ust. 5c i zezwolenia, o którym mowa w ust. 7 pkt 3.</w:t>
            </w:r>
          </w:p>
          <w:p w14:paraId="70E6F10D" w14:textId="28916EF7" w:rsidR="0059404D" w:rsidRPr="002C5640" w:rsidRDefault="0059404D" w:rsidP="0042202B">
            <w:pPr>
              <w:rPr>
                <w:rFonts w:cstheme="minorHAnsi"/>
                <w:b/>
                <w:i/>
              </w:rPr>
            </w:pPr>
            <w:r w:rsidRPr="002C5640">
              <w:rPr>
                <w:rFonts w:cstheme="minorHAnsi"/>
                <w:b/>
                <w:i/>
              </w:rPr>
              <w:t>7b.</w:t>
            </w:r>
            <w:r>
              <w:rPr>
                <w:rFonts w:cstheme="minorHAnsi"/>
                <w:b/>
                <w:i/>
              </w:rPr>
              <w:t xml:space="preserve"> </w:t>
            </w:r>
            <w:r w:rsidRPr="002C5640">
              <w:rPr>
                <w:rFonts w:cstheme="minorHAnsi"/>
                <w:b/>
                <w:i/>
              </w:rPr>
              <w:t>Jeżeli pojazd usunięty w przypadkach, o których mowa w ust. 1 pkt 1a, jest zarejestrowany za granicą w państwie, z którym Rzeczpospolita Polska nie jest związana umową o wzajemnej egzekucji opłat za usuwanie pojazdów, dodatkowym warunkiem zwrotu pojazdu z parkingu strzeżonego jest uiszczenie kaucji w wysokości odpowiadającej przewidywanej opłacie, o której mowa w ust. 5c.</w:t>
            </w:r>
          </w:p>
          <w:p w14:paraId="66BA7CA0" w14:textId="6E5AD494" w:rsidR="0059404D" w:rsidRPr="002C5640" w:rsidRDefault="0059404D" w:rsidP="0042202B">
            <w:pPr>
              <w:rPr>
                <w:rFonts w:cstheme="minorHAnsi"/>
                <w:b/>
                <w:i/>
              </w:rPr>
            </w:pPr>
            <w:r w:rsidRPr="002C5640">
              <w:rPr>
                <w:rFonts w:cstheme="minorHAnsi"/>
                <w:b/>
                <w:i/>
              </w:rPr>
              <w:t>7c.</w:t>
            </w:r>
            <w:r>
              <w:rPr>
                <w:rFonts w:cstheme="minorHAnsi"/>
                <w:b/>
                <w:i/>
              </w:rPr>
              <w:t xml:space="preserve"> </w:t>
            </w:r>
            <w:r w:rsidRPr="002C5640">
              <w:rPr>
                <w:rFonts w:cstheme="minorHAnsi"/>
                <w:b/>
                <w:i/>
              </w:rPr>
              <w:t>Kaucję pobiera się:</w:t>
            </w:r>
          </w:p>
          <w:p w14:paraId="1B4BFE8A" w14:textId="6C914F1F" w:rsidR="0059404D" w:rsidRPr="002C5640" w:rsidRDefault="0059404D" w:rsidP="0042202B">
            <w:pPr>
              <w:rPr>
                <w:rFonts w:cstheme="minorHAnsi"/>
                <w:b/>
                <w:i/>
              </w:rPr>
            </w:pPr>
            <w:r w:rsidRPr="002C5640">
              <w:rPr>
                <w:rFonts w:cstheme="minorHAnsi"/>
                <w:b/>
                <w:i/>
              </w:rPr>
              <w:t>1)w formie gotówkowej, za pokwitowaniem na druku ścisłego zarachowania albo za pomocą karty płatniczej lub innego instrumentu płatniczego, o ile osoba pobierająca kaucję dysponuje urządzeniem do autoryzacji rozliczeń;</w:t>
            </w:r>
          </w:p>
          <w:p w14:paraId="4D70A3A3" w14:textId="1D955CAA" w:rsidR="0059404D" w:rsidRPr="002C5640" w:rsidRDefault="0059404D" w:rsidP="0042202B">
            <w:pPr>
              <w:rPr>
                <w:rFonts w:cstheme="minorHAnsi"/>
                <w:b/>
                <w:i/>
              </w:rPr>
            </w:pPr>
            <w:r w:rsidRPr="002C5640">
              <w:rPr>
                <w:rFonts w:cstheme="minorHAnsi"/>
                <w:b/>
                <w:i/>
              </w:rPr>
              <w:t>2)w formie przelewu na wyodrębniony rachunek właściwego starosty.</w:t>
            </w:r>
          </w:p>
          <w:p w14:paraId="75428432" w14:textId="061097BD" w:rsidR="0059404D" w:rsidRPr="002C5640" w:rsidRDefault="0059404D" w:rsidP="0042202B">
            <w:pPr>
              <w:rPr>
                <w:rFonts w:cstheme="minorHAnsi"/>
                <w:b/>
                <w:i/>
              </w:rPr>
            </w:pPr>
            <w:r w:rsidRPr="002C5640">
              <w:rPr>
                <w:rFonts w:cstheme="minorHAnsi"/>
                <w:b/>
                <w:i/>
              </w:rPr>
              <w:t>7d.Kaucja jest przechowywana na nieoprocentowanym rachunku bankowym, o którym mowa w ust. 7c pkt 2. Koszty związane z uiszczeniem kaucji w formie przelewu na rachunek bankowy, za pomocą karty płatniczej lub innego instrumentu płatniczego – związane z autoryzacją transakcji i przekazem środków na właściwy rachunek bankowy – pokrywa obowiązany podmiot.</w:t>
            </w:r>
          </w:p>
          <w:p w14:paraId="13D66628" w14:textId="7EF2BF48" w:rsidR="0059404D" w:rsidRPr="002C5640" w:rsidRDefault="0059404D" w:rsidP="0042202B">
            <w:pPr>
              <w:rPr>
                <w:rFonts w:cstheme="minorHAnsi"/>
                <w:b/>
                <w:i/>
              </w:rPr>
            </w:pPr>
            <w:r w:rsidRPr="002C5640">
              <w:rPr>
                <w:rFonts w:cstheme="minorHAnsi"/>
                <w:b/>
                <w:i/>
              </w:rPr>
              <w:t>7e.Kaucję przekazuje się:</w:t>
            </w:r>
          </w:p>
          <w:p w14:paraId="2319C6E7" w14:textId="41A118FA" w:rsidR="0059404D" w:rsidRPr="002C5640" w:rsidRDefault="0059404D" w:rsidP="0042202B">
            <w:pPr>
              <w:rPr>
                <w:rFonts w:cstheme="minorHAnsi"/>
                <w:b/>
                <w:i/>
              </w:rPr>
            </w:pPr>
            <w:r w:rsidRPr="002C5640">
              <w:rPr>
                <w:rFonts w:cstheme="minorHAnsi"/>
                <w:b/>
                <w:i/>
              </w:rPr>
              <w:t>1)na rachunek bankowy określony w decyzji o uiszczeniu opłaty, w terminie, o którym mowa w ust. 10j, albo</w:t>
            </w:r>
          </w:p>
          <w:p w14:paraId="2EF05280" w14:textId="5C481758" w:rsidR="0059404D" w:rsidRPr="002C5640" w:rsidRDefault="0059404D" w:rsidP="0042202B">
            <w:pPr>
              <w:rPr>
                <w:rFonts w:cstheme="minorHAnsi"/>
                <w:b/>
                <w:i/>
              </w:rPr>
            </w:pPr>
            <w:r w:rsidRPr="002C5640">
              <w:rPr>
                <w:rFonts w:cstheme="minorHAnsi"/>
                <w:b/>
                <w:i/>
              </w:rPr>
              <w:t>2)na rachunek bankowy podmiotu, który ją wpłacił, w terminie 7 dni od dnia ostatecznego stwierdzenia, że usunięcie pojazdu było bezpodstawne.”,</w:t>
            </w:r>
          </w:p>
          <w:p w14:paraId="5499D662" w14:textId="54B473B8" w:rsidR="0059404D" w:rsidRPr="002C5640" w:rsidRDefault="0059404D" w:rsidP="0042202B">
            <w:pPr>
              <w:rPr>
                <w:rFonts w:cstheme="minorHAnsi"/>
                <w:b/>
                <w:i/>
              </w:rPr>
            </w:pPr>
            <w:r w:rsidRPr="002C5640">
              <w:rPr>
                <w:rFonts w:cstheme="minorHAnsi"/>
                <w:b/>
                <w:i/>
              </w:rPr>
              <w:t>d)w ust. 11 po pkt 3 dodaje się pkt 4 i 5 w brzmieniu:</w:t>
            </w:r>
          </w:p>
          <w:p w14:paraId="2CC25E4C" w14:textId="29C83123" w:rsidR="0059404D" w:rsidRPr="002C5640" w:rsidRDefault="0059404D" w:rsidP="0042202B">
            <w:pPr>
              <w:rPr>
                <w:rFonts w:cstheme="minorHAnsi"/>
                <w:b/>
                <w:i/>
              </w:rPr>
            </w:pPr>
            <w:r w:rsidRPr="002C5640">
              <w:rPr>
                <w:rFonts w:cstheme="minorHAnsi"/>
                <w:b/>
                <w:i/>
              </w:rPr>
              <w:t>„4)wzór zezwolenia, o którym mowa w ust. 7 pkt 3;</w:t>
            </w:r>
          </w:p>
          <w:p w14:paraId="31C0C230" w14:textId="0011D6A6" w:rsidR="0059404D" w:rsidRPr="00832A87" w:rsidRDefault="0059404D" w:rsidP="0042202B">
            <w:pPr>
              <w:rPr>
                <w:rFonts w:cstheme="minorHAnsi"/>
                <w:b/>
              </w:rPr>
            </w:pPr>
            <w:r w:rsidRPr="002C5640">
              <w:rPr>
                <w:rFonts w:cstheme="minorHAnsi"/>
                <w:b/>
                <w:i/>
              </w:rPr>
              <w:t>5)sposób odbioru pojazdu z parkingu strzeżonego.”;”</w:t>
            </w:r>
          </w:p>
        </w:tc>
        <w:tc>
          <w:tcPr>
            <w:tcW w:w="3686" w:type="dxa"/>
          </w:tcPr>
          <w:p w14:paraId="6D0E6950" w14:textId="614AFB5F" w:rsidR="000057D5" w:rsidRDefault="000057D5" w:rsidP="0042202B">
            <w:pPr>
              <w:rPr>
                <w:rFonts w:cstheme="minorHAnsi"/>
                <w:b/>
              </w:rPr>
            </w:pPr>
            <w:r>
              <w:rPr>
                <w:rFonts w:cstheme="minorHAnsi"/>
                <w:b/>
              </w:rPr>
              <w:t>Do korekty + prośba o wkład dot. finansowania systemu. Czekamy na materiały do połowy przyszłego tygodnia</w:t>
            </w:r>
            <w:r w:rsidR="0075395B">
              <w:rPr>
                <w:rFonts w:cstheme="minorHAnsi"/>
                <w:b/>
              </w:rPr>
              <w:t xml:space="preserve">. </w:t>
            </w:r>
            <w:r>
              <w:rPr>
                <w:rFonts w:cstheme="minorHAnsi"/>
                <w:b/>
              </w:rPr>
              <w:t>Policja i Straż Graniczna – doprecyzować jakie organy</w:t>
            </w:r>
          </w:p>
          <w:p w14:paraId="62CEFE49" w14:textId="39FE2F28" w:rsidR="00177E57" w:rsidRDefault="00177E57" w:rsidP="0042202B">
            <w:pPr>
              <w:rPr>
                <w:rFonts w:cstheme="minorHAnsi"/>
                <w:b/>
              </w:rPr>
            </w:pPr>
          </w:p>
          <w:p w14:paraId="6763D5F0" w14:textId="2E2ED331" w:rsidR="00177E57" w:rsidRPr="00177E57" w:rsidRDefault="00177E57" w:rsidP="0042202B">
            <w:pPr>
              <w:rPr>
                <w:rFonts w:cstheme="minorHAnsi"/>
                <w:b/>
                <w:color w:val="0070C0"/>
              </w:rPr>
            </w:pPr>
            <w:r w:rsidRPr="000E76C9">
              <w:rPr>
                <w:rFonts w:cstheme="minorHAnsi"/>
                <w:b/>
                <w:color w:val="0070C0"/>
                <w:highlight w:val="yellow"/>
              </w:rPr>
              <w:t xml:space="preserve">Brak informacji z </w:t>
            </w:r>
            <w:r w:rsidR="000E76C9" w:rsidRPr="000E76C9">
              <w:rPr>
                <w:rFonts w:cstheme="minorHAnsi"/>
                <w:b/>
                <w:color w:val="0070C0"/>
                <w:highlight w:val="yellow"/>
              </w:rPr>
              <w:t>Policji</w:t>
            </w:r>
            <w:r w:rsidR="000E76C9">
              <w:rPr>
                <w:rFonts w:cstheme="minorHAnsi"/>
                <w:b/>
                <w:color w:val="0070C0"/>
                <w:highlight w:val="yellow"/>
              </w:rPr>
              <w:t xml:space="preserve"> w zakresie OSR</w:t>
            </w:r>
            <w:r w:rsidRPr="000E76C9">
              <w:rPr>
                <w:rFonts w:cstheme="minorHAnsi"/>
                <w:b/>
                <w:color w:val="0070C0"/>
                <w:highlight w:val="yellow"/>
              </w:rPr>
              <w:t xml:space="preserve"> – na dzień </w:t>
            </w:r>
            <w:r w:rsidR="000E76C9" w:rsidRPr="000E76C9">
              <w:rPr>
                <w:rFonts w:cstheme="minorHAnsi"/>
                <w:b/>
                <w:color w:val="0070C0"/>
                <w:highlight w:val="yellow"/>
              </w:rPr>
              <w:t>23</w:t>
            </w:r>
            <w:r w:rsidRPr="000E76C9">
              <w:rPr>
                <w:rFonts w:cstheme="minorHAnsi"/>
                <w:b/>
                <w:color w:val="0070C0"/>
                <w:highlight w:val="yellow"/>
              </w:rPr>
              <w:t>.06.26</w:t>
            </w:r>
          </w:p>
          <w:p w14:paraId="2419B57A" w14:textId="77777777" w:rsidR="000057D5" w:rsidRPr="00177E57" w:rsidRDefault="000057D5" w:rsidP="0042202B">
            <w:pPr>
              <w:rPr>
                <w:rFonts w:cstheme="minorHAnsi"/>
                <w:b/>
                <w:color w:val="0070C0"/>
              </w:rPr>
            </w:pPr>
          </w:p>
          <w:p w14:paraId="7133209D" w14:textId="77777777" w:rsidR="0059404D" w:rsidRPr="00832A87" w:rsidRDefault="0059404D" w:rsidP="0042202B">
            <w:pPr>
              <w:rPr>
                <w:rFonts w:cstheme="minorHAnsi"/>
                <w:b/>
              </w:rPr>
            </w:pPr>
          </w:p>
        </w:tc>
      </w:tr>
      <w:tr w:rsidR="0059404D" w:rsidRPr="00F515D6" w14:paraId="60BC46FF" w14:textId="517709B7" w:rsidTr="00D76FE7">
        <w:tc>
          <w:tcPr>
            <w:tcW w:w="562" w:type="dxa"/>
          </w:tcPr>
          <w:p w14:paraId="2D11D3C2" w14:textId="77777777" w:rsidR="0059404D" w:rsidRPr="00A37B7E" w:rsidRDefault="0059404D" w:rsidP="0042202B">
            <w:pPr>
              <w:rPr>
                <w:rFonts w:cstheme="minorHAnsi"/>
                <w:b/>
              </w:rPr>
            </w:pPr>
            <w:r w:rsidRPr="00A37B7E">
              <w:rPr>
                <w:rFonts w:cstheme="minorHAnsi"/>
                <w:b/>
              </w:rPr>
              <w:t>32</w:t>
            </w:r>
          </w:p>
        </w:tc>
        <w:tc>
          <w:tcPr>
            <w:tcW w:w="993" w:type="dxa"/>
          </w:tcPr>
          <w:p w14:paraId="1712A73F" w14:textId="77777777" w:rsidR="0059404D" w:rsidRDefault="0059404D" w:rsidP="0042202B">
            <w:pPr>
              <w:rPr>
                <w:rFonts w:cstheme="minorHAnsi"/>
                <w:b/>
              </w:rPr>
            </w:pPr>
            <w:r w:rsidRPr="00A37B7E">
              <w:rPr>
                <w:rFonts w:cstheme="minorHAnsi"/>
                <w:b/>
              </w:rPr>
              <w:t>MSWiA</w:t>
            </w:r>
          </w:p>
          <w:p w14:paraId="381D4C92" w14:textId="77777777" w:rsidR="0059404D" w:rsidRDefault="0059404D" w:rsidP="0042202B">
            <w:pPr>
              <w:rPr>
                <w:rFonts w:cstheme="minorHAnsi"/>
                <w:b/>
              </w:rPr>
            </w:pPr>
          </w:p>
          <w:p w14:paraId="1FF58E13" w14:textId="3136A1F6" w:rsidR="0059404D" w:rsidRPr="00100C6A" w:rsidRDefault="0059404D" w:rsidP="0042202B">
            <w:pPr>
              <w:rPr>
                <w:rFonts w:cstheme="minorHAnsi"/>
                <w:b/>
                <w:color w:val="00B050"/>
              </w:rPr>
            </w:pPr>
            <w:r>
              <w:rPr>
                <w:rFonts w:cstheme="minorHAnsi"/>
                <w:b/>
                <w:color w:val="00B050"/>
              </w:rPr>
              <w:t>+uwaga 6 RCL</w:t>
            </w:r>
          </w:p>
        </w:tc>
        <w:tc>
          <w:tcPr>
            <w:tcW w:w="1701" w:type="dxa"/>
          </w:tcPr>
          <w:p w14:paraId="2A582527" w14:textId="77777777" w:rsidR="0059404D" w:rsidRPr="00A37B7E" w:rsidRDefault="0059404D" w:rsidP="0042202B">
            <w:pPr>
              <w:rPr>
                <w:rFonts w:cstheme="minorHAnsi"/>
                <w:b/>
              </w:rPr>
            </w:pPr>
            <w:r w:rsidRPr="00A37B7E">
              <w:rPr>
                <w:rFonts w:cstheme="minorHAnsi"/>
                <w:b/>
              </w:rPr>
              <w:t>Art. 14 ust. 5 UH</w:t>
            </w:r>
          </w:p>
        </w:tc>
        <w:tc>
          <w:tcPr>
            <w:tcW w:w="5953" w:type="dxa"/>
          </w:tcPr>
          <w:p w14:paraId="44724F94" w14:textId="77777777" w:rsidR="0059404D" w:rsidRPr="00A37B7E" w:rsidRDefault="0059404D" w:rsidP="0042202B">
            <w:pPr>
              <w:rPr>
                <w:rFonts w:cstheme="minorHAnsi"/>
                <w:b/>
              </w:rPr>
            </w:pPr>
            <w:r w:rsidRPr="00A37B7E">
              <w:rPr>
                <w:rFonts w:cstheme="minorHAnsi"/>
                <w:b/>
              </w:rPr>
              <w:t xml:space="preserve">Należy zauważyć, że art. 14 ust. 5 zmienianej ustawy (art. 1 pkt 6 projektu ustawy) zakazujący producentowi wprowadzanie do obrotu nowego pojazdu bez odpowiednio wymaganego świadectwa homologacji, stoi w sprzeczności </w:t>
            </w:r>
            <w:r w:rsidRPr="00A37B7E">
              <w:rPr>
                <w:rFonts w:cstheme="minorHAnsi"/>
                <w:b/>
              </w:rPr>
              <w:br/>
              <w:t>z art. 13 ust. 4 obowiązującej ustawy oraz art. 68b (art. 1 pkt 10) projektowanego aktu prawnego.</w:t>
            </w:r>
          </w:p>
          <w:p w14:paraId="12961021" w14:textId="56959B43" w:rsidR="0059404D" w:rsidRPr="00A37B7E" w:rsidRDefault="0059404D" w:rsidP="0042202B">
            <w:pPr>
              <w:rPr>
                <w:rFonts w:cstheme="minorHAnsi"/>
                <w:b/>
              </w:rPr>
            </w:pPr>
          </w:p>
        </w:tc>
        <w:tc>
          <w:tcPr>
            <w:tcW w:w="3827" w:type="dxa"/>
          </w:tcPr>
          <w:p w14:paraId="7243C885" w14:textId="40D56596" w:rsidR="0059404D" w:rsidRPr="00A37B7E" w:rsidRDefault="0059404D" w:rsidP="0042202B">
            <w:pPr>
              <w:rPr>
                <w:rFonts w:cstheme="minorHAnsi"/>
                <w:b/>
              </w:rPr>
            </w:pPr>
            <w:r w:rsidRPr="00A37B7E">
              <w:rPr>
                <w:rFonts w:cstheme="minorHAnsi"/>
                <w:b/>
              </w:rPr>
              <w:t>Uwaga uwzględniona - poprzez</w:t>
            </w:r>
          </w:p>
          <w:p w14:paraId="2C94DDD5" w14:textId="44364664" w:rsidR="0059404D" w:rsidRDefault="0059404D" w:rsidP="0042202B">
            <w:pPr>
              <w:rPr>
                <w:rFonts w:cstheme="minorHAnsi"/>
                <w:b/>
              </w:rPr>
            </w:pPr>
            <w:r w:rsidRPr="00A37B7E">
              <w:rPr>
                <w:rFonts w:cstheme="minorHAnsi"/>
                <w:b/>
              </w:rPr>
              <w:t xml:space="preserve">wprowadzenie w art. 14 ust. 5 </w:t>
            </w:r>
            <w:bookmarkStart w:id="28" w:name="_Hlk219121109"/>
            <w:r w:rsidRPr="00A37B7E">
              <w:rPr>
                <w:rFonts w:cstheme="minorHAnsi"/>
                <w:b/>
              </w:rPr>
              <w:t>„z zastrzeżeniem art. 13 ust. 4 i art. 68b</w:t>
            </w:r>
            <w:bookmarkEnd w:id="28"/>
            <w:r w:rsidRPr="00A37B7E">
              <w:rPr>
                <w:rFonts w:cstheme="minorHAnsi"/>
                <w:b/>
              </w:rPr>
              <w:t xml:space="preserve">” – które zawierają fakultatywność uzyskania homologacji/dopuszczenia. </w:t>
            </w:r>
          </w:p>
          <w:p w14:paraId="66853B59" w14:textId="77777777" w:rsidR="0059404D" w:rsidRDefault="0059404D" w:rsidP="0042202B">
            <w:pPr>
              <w:rPr>
                <w:rFonts w:cstheme="minorHAnsi"/>
                <w:b/>
              </w:rPr>
            </w:pPr>
          </w:p>
          <w:p w14:paraId="21F575FE" w14:textId="799C41E4" w:rsidR="0059404D" w:rsidRPr="00A258B6" w:rsidRDefault="0059404D" w:rsidP="0042202B">
            <w:pPr>
              <w:pStyle w:val="ZUSTzmustartykuempunktem"/>
              <w:spacing w:line="240" w:lineRule="auto"/>
              <w:ind w:left="0" w:firstLine="0"/>
              <w:jc w:val="left"/>
              <w:rPr>
                <w:rFonts w:asciiTheme="minorHAnsi" w:hAnsiTheme="minorHAnsi" w:cstheme="minorHAnsi"/>
                <w:b/>
                <w:i/>
                <w:sz w:val="22"/>
                <w:szCs w:val="22"/>
              </w:rPr>
            </w:pPr>
            <w:r w:rsidRPr="00A258B6">
              <w:rPr>
                <w:rFonts w:asciiTheme="minorHAnsi" w:hAnsiTheme="minorHAnsi" w:cstheme="minorHAnsi"/>
                <w:b/>
                <w:i/>
                <w:sz w:val="22"/>
                <w:szCs w:val="22"/>
              </w:rPr>
              <w:t>„4. Zakazuje się wprowadzania do obrotu nowego pojazdu, przedmiotu wyposażenia lub części bez wymaganego odpowiedniego: świadectwa homologacji typu UE, świadectwa homologacji typu WE, świadectwa homologacji typu ONZ, świadectwa homologacji typu EKG ONZ, świadectwa krajowej homologacji typu pojazdu dla pojazdów kategorii: C, R, S, T4.1, T4.2, świadectwa krajowej homologacji typu tramwaju, świadectwa krajowej homologacji typu trolejbusu, świadectwa</w:t>
            </w:r>
            <w:r w:rsidRPr="00A258B6">
              <w:rPr>
                <w:b/>
                <w:i/>
              </w:rPr>
              <w:t xml:space="preserve"> </w:t>
            </w:r>
            <w:r w:rsidRPr="00A258B6">
              <w:rPr>
                <w:rFonts w:asciiTheme="minorHAnsi" w:hAnsiTheme="minorHAnsi" w:cstheme="minorHAnsi"/>
                <w:b/>
                <w:i/>
                <w:sz w:val="22"/>
                <w:szCs w:val="22"/>
              </w:rPr>
              <w:t>homologacji typu WE dla pojazdów produkowanych w</w:t>
            </w:r>
            <w:r w:rsidRPr="00A258B6">
              <w:rPr>
                <w:b/>
                <w:i/>
              </w:rPr>
              <w:t xml:space="preserve"> </w:t>
            </w:r>
            <w:r w:rsidRPr="00A258B6">
              <w:rPr>
                <w:rFonts w:asciiTheme="minorHAnsi" w:hAnsiTheme="minorHAnsi" w:cstheme="minorHAnsi"/>
                <w:b/>
                <w:i/>
                <w:sz w:val="22"/>
                <w:szCs w:val="22"/>
              </w:rPr>
              <w:t>małych</w:t>
            </w:r>
            <w:r w:rsidRPr="00A258B6">
              <w:rPr>
                <w:b/>
                <w:i/>
              </w:rPr>
              <w:t xml:space="preserve"> </w:t>
            </w:r>
            <w:r w:rsidRPr="00A258B6">
              <w:rPr>
                <w:rFonts w:asciiTheme="minorHAnsi" w:hAnsiTheme="minorHAnsi" w:cstheme="minorHAnsi"/>
                <w:b/>
                <w:i/>
                <w:sz w:val="22"/>
                <w:szCs w:val="22"/>
              </w:rPr>
              <w:t>seriach, świadectwa krajowej homologacji typu dla pojazdów produkowanych w małych seriach, uznania świadectwa krajowej homologacji typu pojazdów produkowanych w małych seriach wydanego przez właściwy organ innego niż Rzeczpospolita Polska państwa członkowskiego Unii Europejskiej, dopuszczenia jednostkowego pojazdu, dopuszczenia indywidualnego WE pojazdu, świadectwa krajowego indywidualnego dopuszczenia nowego pojazdu,  świadectwa unijnego indywidualnego dopuszczenia pojazdu, uznania świadectwa krajowego indywidualnego dopuszczenia pojazdu wydanego dla nowego pojazdu zgodnie z art. 1 ust. 1 rozporządzenia 167/2013, art. 1 ust. 1 rozporządzenia 168/2013 albo art. 45 ust. 1 rozporządzenia 2018/858 przez właściwy organ</w:t>
            </w:r>
            <w:r w:rsidRPr="00A258B6">
              <w:rPr>
                <w:b/>
                <w:i/>
              </w:rPr>
              <w:t xml:space="preserve"> </w:t>
            </w:r>
            <w:r w:rsidRPr="00A258B6">
              <w:rPr>
                <w:rFonts w:asciiTheme="minorHAnsi" w:hAnsiTheme="minorHAnsi" w:cstheme="minorHAnsi"/>
                <w:b/>
                <w:i/>
                <w:sz w:val="22"/>
                <w:szCs w:val="22"/>
              </w:rPr>
              <w:t>innego niż</w:t>
            </w:r>
            <w:r w:rsidRPr="00A258B6">
              <w:rPr>
                <w:b/>
                <w:i/>
              </w:rPr>
              <w:t xml:space="preserve"> </w:t>
            </w:r>
            <w:r w:rsidRPr="00A258B6">
              <w:rPr>
                <w:rFonts w:asciiTheme="minorHAnsi" w:hAnsiTheme="minorHAnsi" w:cstheme="minorHAnsi"/>
                <w:b/>
                <w:i/>
                <w:sz w:val="22"/>
                <w:szCs w:val="22"/>
              </w:rPr>
              <w:t>Rzeczpospolita Polska państwa członkowskiego Unii Europejskiej albo zezwolenia na wprowadzanie do obrotu przedmiotu wyposażenia lub części, które mogą stwarzać poważne zagrożenie dla właściwego funkcjonowania istotnych układów, z zastrzeżeniem art. 13 ust. 4 i art. 68b.</w:t>
            </w:r>
            <w:r>
              <w:rPr>
                <w:rFonts w:asciiTheme="minorHAnsi" w:hAnsiTheme="minorHAnsi" w:cstheme="minorHAnsi"/>
                <w:b/>
                <w:i/>
                <w:sz w:val="22"/>
                <w:szCs w:val="22"/>
              </w:rPr>
              <w:t>”</w:t>
            </w:r>
          </w:p>
        </w:tc>
        <w:tc>
          <w:tcPr>
            <w:tcW w:w="3686" w:type="dxa"/>
          </w:tcPr>
          <w:p w14:paraId="5EBC93DC" w14:textId="6F7D65D7" w:rsidR="0059404D" w:rsidRPr="00A37B7E" w:rsidRDefault="005A144E" w:rsidP="0042202B">
            <w:pPr>
              <w:rPr>
                <w:rFonts w:cstheme="minorHAnsi"/>
                <w:b/>
              </w:rPr>
            </w:pPr>
            <w:r>
              <w:rPr>
                <w:rFonts w:cstheme="minorHAnsi"/>
                <w:b/>
              </w:rPr>
              <w:t xml:space="preserve">Akceptacja </w:t>
            </w:r>
          </w:p>
        </w:tc>
      </w:tr>
      <w:tr w:rsidR="0059404D" w:rsidRPr="00F515D6" w14:paraId="242F2184" w14:textId="03814BB9" w:rsidTr="00D76FE7">
        <w:tc>
          <w:tcPr>
            <w:tcW w:w="562" w:type="dxa"/>
          </w:tcPr>
          <w:p w14:paraId="31FC878B" w14:textId="77777777" w:rsidR="0059404D" w:rsidRPr="00741466" w:rsidRDefault="0059404D" w:rsidP="0042202B">
            <w:pPr>
              <w:rPr>
                <w:rFonts w:cstheme="minorHAnsi"/>
                <w:b/>
              </w:rPr>
            </w:pPr>
            <w:r w:rsidRPr="00741466">
              <w:rPr>
                <w:rFonts w:cstheme="minorHAnsi"/>
                <w:b/>
              </w:rPr>
              <w:t>33</w:t>
            </w:r>
          </w:p>
        </w:tc>
        <w:tc>
          <w:tcPr>
            <w:tcW w:w="993" w:type="dxa"/>
          </w:tcPr>
          <w:p w14:paraId="3FE8B058" w14:textId="77777777" w:rsidR="0059404D" w:rsidRPr="00741466" w:rsidRDefault="0059404D" w:rsidP="0042202B">
            <w:pPr>
              <w:rPr>
                <w:rFonts w:cstheme="minorHAnsi"/>
                <w:b/>
              </w:rPr>
            </w:pPr>
            <w:r w:rsidRPr="00741466">
              <w:rPr>
                <w:rFonts w:cstheme="minorHAnsi"/>
                <w:b/>
              </w:rPr>
              <w:t>MSZ</w:t>
            </w:r>
          </w:p>
        </w:tc>
        <w:tc>
          <w:tcPr>
            <w:tcW w:w="1701" w:type="dxa"/>
          </w:tcPr>
          <w:p w14:paraId="5CC1F96F" w14:textId="77777777" w:rsidR="0059404D" w:rsidRPr="00741466" w:rsidRDefault="0059404D" w:rsidP="0042202B">
            <w:pPr>
              <w:rPr>
                <w:rFonts w:cstheme="minorHAnsi"/>
                <w:b/>
              </w:rPr>
            </w:pPr>
            <w:r w:rsidRPr="00741466">
              <w:rPr>
                <w:rFonts w:cstheme="minorHAnsi"/>
                <w:b/>
              </w:rPr>
              <w:t>Art. 68a ust. 6, art. 68g ust. 3 pkt 1, art. 68h ust. 1 pkt 3 UH</w:t>
            </w:r>
          </w:p>
          <w:p w14:paraId="188AEC85" w14:textId="77777777" w:rsidR="0059404D" w:rsidRPr="00741466" w:rsidRDefault="0059404D" w:rsidP="0042202B">
            <w:pPr>
              <w:rPr>
                <w:rFonts w:cstheme="minorHAnsi"/>
                <w:b/>
              </w:rPr>
            </w:pPr>
          </w:p>
          <w:p w14:paraId="24A071F3" w14:textId="77777777" w:rsidR="0059404D" w:rsidRPr="00741466" w:rsidRDefault="0059404D" w:rsidP="0042202B">
            <w:pPr>
              <w:rPr>
                <w:rFonts w:cstheme="minorHAnsi"/>
                <w:b/>
              </w:rPr>
            </w:pPr>
          </w:p>
          <w:p w14:paraId="3A4043A1" w14:textId="77777777" w:rsidR="0059404D" w:rsidRPr="00741466" w:rsidRDefault="0059404D" w:rsidP="0042202B">
            <w:pPr>
              <w:rPr>
                <w:rFonts w:cstheme="minorHAnsi"/>
                <w:b/>
              </w:rPr>
            </w:pPr>
          </w:p>
          <w:p w14:paraId="4E6F54D9" w14:textId="77777777" w:rsidR="0059404D" w:rsidRPr="00741466" w:rsidRDefault="0059404D" w:rsidP="0042202B">
            <w:pPr>
              <w:rPr>
                <w:rFonts w:cstheme="minorHAnsi"/>
                <w:b/>
              </w:rPr>
            </w:pPr>
          </w:p>
          <w:p w14:paraId="2016EF1D" w14:textId="77777777" w:rsidR="0059404D" w:rsidRPr="00741466" w:rsidRDefault="0059404D" w:rsidP="0042202B">
            <w:pPr>
              <w:rPr>
                <w:rFonts w:cstheme="minorHAnsi"/>
                <w:b/>
              </w:rPr>
            </w:pPr>
          </w:p>
          <w:p w14:paraId="2ADFDCB1" w14:textId="77777777" w:rsidR="0059404D" w:rsidRPr="00741466" w:rsidRDefault="0059404D" w:rsidP="0042202B">
            <w:pPr>
              <w:rPr>
                <w:rFonts w:cstheme="minorHAnsi"/>
                <w:b/>
              </w:rPr>
            </w:pPr>
          </w:p>
        </w:tc>
        <w:tc>
          <w:tcPr>
            <w:tcW w:w="5953" w:type="dxa"/>
          </w:tcPr>
          <w:p w14:paraId="69222BC5" w14:textId="77777777" w:rsidR="0059404D" w:rsidRPr="00741466" w:rsidRDefault="0059404D" w:rsidP="0042202B">
            <w:pPr>
              <w:autoSpaceDE w:val="0"/>
              <w:autoSpaceDN w:val="0"/>
              <w:adjustRightInd w:val="0"/>
              <w:rPr>
                <w:rFonts w:cstheme="minorHAnsi"/>
                <w:b/>
              </w:rPr>
            </w:pPr>
            <w:r w:rsidRPr="00741466">
              <w:rPr>
                <w:rFonts w:cstheme="minorHAnsi"/>
                <w:b/>
              </w:rPr>
              <w:t xml:space="preserve">Na podstawie art. 73 ust. 4 ustawy z dnia 20 czerwca 1997 r. – Prawo o ruchu drogowym (Dz.U. z 2024 r. poz. 1251, z późn. zm.) rejestracja pojazdów należących do przedstawicielstwa dyplomatycznego, urzędu konsularnego i misji specjalnej państw obcych lub organizacji międzynarodowej, a także ich personelu (dalej „pojazdy CD/CC”), odbywa się na wniosek ministra właściwego do spraw zagranicznych. </w:t>
            </w:r>
          </w:p>
          <w:p w14:paraId="5EF60A9E" w14:textId="77777777" w:rsidR="0059404D" w:rsidRPr="00741466" w:rsidRDefault="0059404D" w:rsidP="0042202B">
            <w:pPr>
              <w:autoSpaceDE w:val="0"/>
              <w:autoSpaceDN w:val="0"/>
              <w:adjustRightInd w:val="0"/>
              <w:rPr>
                <w:rFonts w:cstheme="minorHAnsi"/>
                <w:b/>
              </w:rPr>
            </w:pPr>
            <w:r w:rsidRPr="00741466">
              <w:rPr>
                <w:rFonts w:cstheme="minorHAnsi"/>
                <w:b/>
              </w:rPr>
              <w:t>Natomiast art. 68a ust. 6 projektowanej ustawy przewiduje, że krajowemu indywidualnemu dopuszczeniu pojazdu niebędącego nowym pojazdem podlegać będzie pojazd, który:</w:t>
            </w:r>
          </w:p>
          <w:p w14:paraId="20023860" w14:textId="77777777" w:rsidR="0059404D" w:rsidRPr="00741466" w:rsidRDefault="0059404D" w:rsidP="0042202B">
            <w:pPr>
              <w:autoSpaceDE w:val="0"/>
              <w:autoSpaceDN w:val="0"/>
              <w:adjustRightInd w:val="0"/>
              <w:rPr>
                <w:rFonts w:cstheme="minorHAnsi"/>
                <w:b/>
              </w:rPr>
            </w:pPr>
            <w:r w:rsidRPr="00741466">
              <w:rPr>
                <w:rFonts w:cstheme="minorHAnsi"/>
                <w:b/>
              </w:rPr>
              <w:t>1) nie jest nowy i nie był zarejestrowany lub wykorzystywany na terytorium Unii Europejskiej i nie posiada ważnych dokumentów potwierdzających spełnienie odpowiednich wymagań technicznych obowiązujących w procedurze homologacji typu UE pojazdu, typu ONZ albo typu pojazdu;</w:t>
            </w:r>
          </w:p>
          <w:p w14:paraId="103980B6" w14:textId="77777777" w:rsidR="0059404D" w:rsidRPr="00741466" w:rsidRDefault="0059404D" w:rsidP="0042202B">
            <w:pPr>
              <w:autoSpaceDE w:val="0"/>
              <w:autoSpaceDN w:val="0"/>
              <w:adjustRightInd w:val="0"/>
              <w:rPr>
                <w:rFonts w:cstheme="minorHAnsi"/>
                <w:b/>
              </w:rPr>
            </w:pPr>
            <w:r w:rsidRPr="00741466">
              <w:rPr>
                <w:rFonts w:cstheme="minorHAnsi"/>
                <w:b/>
              </w:rPr>
              <w:t>2) nie jest nowy i nie był zarejestrowany na terytorium Unii Europejskiej, gdyż nie podlegał takiemu obowiązkowi w państwie pochodzenia, z którego został sprowadzony na terytorium Rzeczypospolitej Polskiej, ale był wykorzystywany na terytorium Unii Europejskiej;</w:t>
            </w:r>
          </w:p>
          <w:p w14:paraId="090B84B0" w14:textId="77777777" w:rsidR="0059404D" w:rsidRPr="00741466" w:rsidRDefault="0059404D" w:rsidP="0042202B">
            <w:pPr>
              <w:autoSpaceDE w:val="0"/>
              <w:autoSpaceDN w:val="0"/>
              <w:adjustRightInd w:val="0"/>
              <w:rPr>
                <w:rFonts w:cstheme="minorHAnsi"/>
                <w:b/>
              </w:rPr>
            </w:pPr>
            <w:r w:rsidRPr="00741466">
              <w:rPr>
                <w:rFonts w:cstheme="minorHAnsi"/>
                <w:b/>
              </w:rPr>
              <w:t>3) jest nowy i nie posiada ważnych dokumentów potwierdzających spełnienie odpowiednich wymagań technicznych obowiązujących</w:t>
            </w:r>
          </w:p>
          <w:p w14:paraId="19EDFAC1" w14:textId="77777777" w:rsidR="0059404D" w:rsidRPr="00741466" w:rsidRDefault="0059404D" w:rsidP="0042202B">
            <w:pPr>
              <w:autoSpaceDE w:val="0"/>
              <w:autoSpaceDN w:val="0"/>
              <w:adjustRightInd w:val="0"/>
              <w:rPr>
                <w:rFonts w:cstheme="minorHAnsi"/>
                <w:b/>
              </w:rPr>
            </w:pPr>
            <w:r w:rsidRPr="00741466">
              <w:rPr>
                <w:rFonts w:cstheme="minorHAnsi"/>
                <w:b/>
              </w:rPr>
              <w:t>w procedurze homologacji typu UE pojazdu, typu ONZ albo typu pojazdu i został sprowadzony z państwa nie będącego państwem członkowskim Unii Europejskiej, który ma być zgłoszony do rejestracji na podstawie art. 73 ust. 4 ustawy z dnia 20 czerwca 1997 r. – Prawo o ruchu drogowym.</w:t>
            </w:r>
          </w:p>
          <w:p w14:paraId="349B3E67" w14:textId="7464589C" w:rsidR="0059404D" w:rsidRPr="00741466" w:rsidRDefault="0059404D" w:rsidP="0042202B">
            <w:pPr>
              <w:autoSpaceDE w:val="0"/>
              <w:autoSpaceDN w:val="0"/>
              <w:adjustRightInd w:val="0"/>
              <w:rPr>
                <w:rFonts w:cstheme="minorHAnsi"/>
                <w:b/>
              </w:rPr>
            </w:pPr>
            <w:r w:rsidRPr="00741466">
              <w:rPr>
                <w:rFonts w:cstheme="minorHAnsi"/>
                <w:b/>
              </w:rPr>
              <w:t>Mając na uwadze powyższe, pragnę podkreślić, że znaczna część pojazdów wykorzystywanych na cele służbowe misji dyplomatycznych i urzędów konsularnych oraz cele prywatne członków personelu tych misji to samochody sprowadzane spoza UE. W świetle Konwencji wiedeńskiej o stosunkach dyplomatycznych z 1961 r. państwo przyjmujące powinno udzielić wszelkich ułatwień w pełnieniu przez misję jej funkcji (art. 25), co w praktyce przekłada się na różne sfery działania misji, jak również odnosi się do niektórych aspektów życia dyplomatów w zależności od sytuacji w danym państwie. Do ułatwień, o których mowa powyżej, należy zaliczyć również umożliwienie misji i jej personelowi sprowadzenia pojazdów np. z państwa wysyłającego i rejestracji ich na numerach dyplomatycznych.</w:t>
            </w:r>
          </w:p>
          <w:p w14:paraId="42B5D4E0" w14:textId="77777777" w:rsidR="0059404D" w:rsidRPr="00741466" w:rsidRDefault="0059404D" w:rsidP="0042202B">
            <w:pPr>
              <w:autoSpaceDE w:val="0"/>
              <w:autoSpaceDN w:val="0"/>
              <w:adjustRightInd w:val="0"/>
              <w:rPr>
                <w:rFonts w:cstheme="minorHAnsi"/>
                <w:b/>
              </w:rPr>
            </w:pPr>
            <w:r w:rsidRPr="00741466">
              <w:rPr>
                <w:rFonts w:cstheme="minorHAnsi"/>
                <w:b/>
              </w:rPr>
              <w:t>W związku z tym, zasadne jest uzyskanie od Ministerstwa Infrastruktury odpowiedzi na pytanie, czy projektowane przepisy w praktyce nie spowodują trudności w rejestracji nowych pojazdów służbowych misji dyplomatycznych i urzędów konsularnych oraz używanych pojazdów prywatnych członków ich personelu (importowanych w ramach mienia przesiedleńczego) przywożonych do Polski spoza UE?</w:t>
            </w:r>
          </w:p>
          <w:p w14:paraId="2B77077F" w14:textId="7A1F00E2" w:rsidR="0059404D" w:rsidRPr="00741466" w:rsidRDefault="0059404D" w:rsidP="0042202B">
            <w:pPr>
              <w:autoSpaceDE w:val="0"/>
              <w:autoSpaceDN w:val="0"/>
              <w:adjustRightInd w:val="0"/>
              <w:rPr>
                <w:rFonts w:cstheme="minorHAnsi"/>
                <w:b/>
              </w:rPr>
            </w:pPr>
            <w:bookmarkStart w:id="29" w:name="_Hlk212555983"/>
            <w:r w:rsidRPr="00741466">
              <w:rPr>
                <w:rFonts w:cstheme="minorHAnsi"/>
                <w:b/>
              </w:rPr>
              <w:t xml:space="preserve">2. Zgodnie z art. 68g ust. 3 pkt 1 projektu ustawy, jednym z warunków uzyskania świadectwa krajowego indywidualnego dopuszczenia pojazdu niebędącego nowym pojazdem jest przedstawienie u diagnosty </w:t>
            </w:r>
            <w:r w:rsidRPr="00741466">
              <w:rPr>
                <w:rFonts w:cstheme="minorHAnsi"/>
                <w:b/>
                <w:i/>
                <w:iCs/>
              </w:rPr>
              <w:t>dokumentu wydanego przez</w:t>
            </w:r>
            <w:r w:rsidRPr="00741466">
              <w:rPr>
                <w:rFonts w:cstheme="minorHAnsi"/>
                <w:b/>
              </w:rPr>
              <w:t xml:space="preserve"> </w:t>
            </w:r>
            <w:r w:rsidRPr="00741466">
              <w:rPr>
                <w:rFonts w:cstheme="minorHAnsi"/>
                <w:b/>
                <w:i/>
                <w:iCs/>
              </w:rPr>
              <w:t>producenta pojazdu lub upoważnionego przedstawiciela potwierdzającego</w:t>
            </w:r>
            <w:r w:rsidRPr="00741466">
              <w:rPr>
                <w:rFonts w:cstheme="minorHAnsi"/>
                <w:b/>
              </w:rPr>
              <w:t xml:space="preserve"> </w:t>
            </w:r>
            <w:r w:rsidRPr="00741466">
              <w:rPr>
                <w:rFonts w:cstheme="minorHAnsi"/>
                <w:b/>
                <w:i/>
                <w:iCs/>
              </w:rPr>
              <w:t>spełnienie poziomu wymagań technicznych w zakresie emisji zanieczyszczeń w pojazdach będących podstawą dopuszczenia tego pojazdu do ruchu drogowego w państwie pochodzenia, z uwzględnieniem świadectw homologacji oraz certyfikatów, przetłumaczonych na język polski przez tłumacza przysięgłego lub zdjęcie informacji umieszczonej przez producenta na pojeździe, zawierającej dane w zakresie emisji zanieczyszczeń w pojazdach – o ile są dostępne</w:t>
            </w:r>
            <w:r w:rsidRPr="00741466">
              <w:rPr>
                <w:rFonts w:cstheme="minorHAnsi"/>
                <w:b/>
              </w:rPr>
              <w:t>.</w:t>
            </w:r>
          </w:p>
          <w:p w14:paraId="1067571A" w14:textId="77777777" w:rsidR="0059404D" w:rsidRPr="00741466" w:rsidRDefault="0059404D" w:rsidP="0042202B">
            <w:pPr>
              <w:autoSpaceDE w:val="0"/>
              <w:autoSpaceDN w:val="0"/>
              <w:adjustRightInd w:val="0"/>
              <w:rPr>
                <w:rFonts w:cstheme="minorHAnsi"/>
                <w:b/>
              </w:rPr>
            </w:pPr>
            <w:r w:rsidRPr="00741466">
              <w:rPr>
                <w:rFonts w:cstheme="minorHAnsi"/>
                <w:b/>
              </w:rPr>
              <w:t>W tym kontekście zachodzi wątpliwość czy w odniesieniu do pojazdów importowanych np. z USA i Kanady standardem jest wydawanie przez producentów pojazdów dokumentów określających poziom emisji zanieczyszczeń lub umieszczanie na pojazdach danych, o których mowa w art. 68g ust. 3 pkt 1, a tym samym, czy spełnienie tego wymogu będzie w praktyce możliwe dla misji dyplomatycznych, urzędów konsularnych i ich członków personelu w przypadku zamiaru sprowadzenia pojazdu, który wcześniej nigdy nie był rejestrowany w UE.</w:t>
            </w:r>
          </w:p>
          <w:bookmarkEnd w:id="29"/>
          <w:p w14:paraId="67852A41" w14:textId="77777777" w:rsidR="0059404D" w:rsidRPr="00741466" w:rsidRDefault="0059404D" w:rsidP="0042202B">
            <w:pPr>
              <w:autoSpaceDE w:val="0"/>
              <w:autoSpaceDN w:val="0"/>
              <w:adjustRightInd w:val="0"/>
              <w:rPr>
                <w:rFonts w:cstheme="minorHAnsi"/>
                <w:b/>
              </w:rPr>
            </w:pPr>
            <w:r w:rsidRPr="00741466">
              <w:rPr>
                <w:rFonts w:cstheme="minorHAnsi"/>
                <w:b/>
              </w:rPr>
              <w:t>W przypadku niezłożenia wraz z wnioskiem dokumentów, o których mowa w art. 68g ust. 3 pkt 1 niezbędne jest przeprowadzenie przez służbę techniczną badania, o którym mowa w art. 68h ust. 1 pkt 3, za które pobierana jest opłata w wysokości 213% przeciętnego wynagrodzenia w czwartym kwartale roku poprzedniego, ogłaszanego przez Prezesa Głównego Urzędu Statystycznego na podstawie art. 20 pkt 2 ustawy z dnia 17 grudnia 1998 r. o emeryturach i rentach z Funduszu Ubezpieczeń Społecznych (Dz. U. z 2024 r. poz. 1631, z późn. zm.), co wynosi, jak wskazano w uzasadnieniu do projektu ustawy, do ok. 18 000 zł.</w:t>
            </w:r>
          </w:p>
          <w:p w14:paraId="7AB2E716" w14:textId="77777777" w:rsidR="0059404D" w:rsidRPr="00741466" w:rsidRDefault="0059404D" w:rsidP="0042202B">
            <w:pPr>
              <w:autoSpaceDE w:val="0"/>
              <w:autoSpaceDN w:val="0"/>
              <w:adjustRightInd w:val="0"/>
              <w:rPr>
                <w:rFonts w:cstheme="minorHAnsi"/>
                <w:b/>
              </w:rPr>
            </w:pPr>
            <w:r w:rsidRPr="00741466">
              <w:rPr>
                <w:rFonts w:cstheme="minorHAnsi"/>
                <w:b/>
              </w:rPr>
              <w:t>Uwzględniając dodatkowo inne opłaty związane z wydaniem świadectwa krajowego indywidualnego dopuszczenia pojazdu niebędącego nowym pojazdem, łączny koszt rejestracji pojazdu sprowadzonego może wynieść – ok. 20 000 zł.</w:t>
            </w:r>
          </w:p>
          <w:p w14:paraId="3C583147" w14:textId="77777777" w:rsidR="0059404D" w:rsidRPr="00741466" w:rsidRDefault="0059404D" w:rsidP="0042202B">
            <w:pPr>
              <w:autoSpaceDE w:val="0"/>
              <w:autoSpaceDN w:val="0"/>
              <w:adjustRightInd w:val="0"/>
              <w:rPr>
                <w:rFonts w:cstheme="minorHAnsi"/>
                <w:b/>
              </w:rPr>
            </w:pPr>
            <w:r w:rsidRPr="00741466">
              <w:rPr>
                <w:rFonts w:cstheme="minorHAnsi"/>
                <w:b/>
              </w:rPr>
              <w:t xml:space="preserve">Konieczność poniesienia takiego kosztu, który nijak nie koresponduje z kosztami, jakie mieliby ponosić dyplomaci zamierzający zarejestrować pojazd zarejestrowany uprzednio w innym państwie członkowskim UE, w odniesieniu do sprowadzonych na okres wykonywania przez nich funkcji w Polsce (2-4 lata), używanych pojazdów spoza UE może zostać odebrana jako przesłanka </w:t>
            </w:r>
            <w:r w:rsidRPr="00741466">
              <w:rPr>
                <w:rFonts w:cstheme="minorHAnsi"/>
                <w:b/>
                <w:i/>
                <w:iCs/>
              </w:rPr>
              <w:t xml:space="preserve">de facto </w:t>
            </w:r>
            <w:r w:rsidRPr="00741466">
              <w:rPr>
                <w:rFonts w:cstheme="minorHAnsi"/>
                <w:b/>
              </w:rPr>
              <w:t xml:space="preserve">uniemożliwiająca rejestrację pojazdu, </w:t>
            </w:r>
            <w:r w:rsidRPr="00741466">
              <w:rPr>
                <w:rFonts w:cstheme="minorHAnsi"/>
                <w:b/>
              </w:rPr>
              <w:br/>
              <w:t>co z kolei niesie ze sobą ryzyko zarzutów ze strony niektórych misji dyplomatycznych o utrudnianie w realizacji ich funkcji w RP oraz nierówne traktowanie, co stoi w sprzeczności z postanowieniami art. 47 ust. 1 Konwencji wiedeńskiej o stosunkach dyplomatycznych z 1961 r.</w:t>
            </w:r>
          </w:p>
          <w:p w14:paraId="1E67350E" w14:textId="77777777" w:rsidR="0059404D" w:rsidRPr="00741466" w:rsidRDefault="0059404D" w:rsidP="0042202B">
            <w:pPr>
              <w:autoSpaceDE w:val="0"/>
              <w:autoSpaceDN w:val="0"/>
              <w:adjustRightInd w:val="0"/>
              <w:rPr>
                <w:rFonts w:cstheme="minorHAnsi"/>
                <w:b/>
              </w:rPr>
            </w:pPr>
            <w:r w:rsidRPr="00741466">
              <w:rPr>
                <w:rFonts w:cstheme="minorHAnsi"/>
                <w:b/>
              </w:rPr>
              <w:t>4. Dodatkowo, mając na uwadze ocenę potencjalnych innych ryzyk, związanych z rejestracją pojazdów CD/CC, zasadne jest również uzyskanie od Ministerstwa Infrastruktury informacji w następujących kwestiach:</w:t>
            </w:r>
          </w:p>
          <w:p w14:paraId="786B1FC4" w14:textId="77777777" w:rsidR="0059404D" w:rsidRPr="00741466" w:rsidRDefault="0059404D" w:rsidP="0042202B">
            <w:pPr>
              <w:autoSpaceDE w:val="0"/>
              <w:autoSpaceDN w:val="0"/>
              <w:adjustRightInd w:val="0"/>
              <w:rPr>
                <w:rFonts w:cstheme="minorHAnsi"/>
                <w:b/>
              </w:rPr>
            </w:pPr>
            <w:bookmarkStart w:id="30" w:name="_Hlk212556060"/>
            <w:r w:rsidRPr="00741466">
              <w:rPr>
                <w:rFonts w:cstheme="minorHAnsi"/>
                <w:b/>
              </w:rPr>
              <w:t>1) czy, biorąc pod uwagę analizy przeprowadzone przez projektodawcę, uzyskanie innych dokumentów wskazanych w art. 68g ust. 3 może być utrudnione, w odniesieniu do zarówno nowych, jak i używanych pojazdów (nie starszych niż 10-letnie), które nie były wcześniej zarejestrowane na terytorium UE?</w:t>
            </w:r>
          </w:p>
          <w:p w14:paraId="40AE9F8F" w14:textId="77777777" w:rsidR="0059404D" w:rsidRPr="00741466" w:rsidRDefault="0059404D" w:rsidP="0042202B">
            <w:pPr>
              <w:autoSpaceDE w:val="0"/>
              <w:autoSpaceDN w:val="0"/>
              <w:adjustRightInd w:val="0"/>
              <w:rPr>
                <w:rFonts w:cstheme="minorHAnsi"/>
                <w:b/>
              </w:rPr>
            </w:pPr>
            <w:r w:rsidRPr="00741466">
              <w:rPr>
                <w:rFonts w:cstheme="minorHAnsi"/>
                <w:b/>
              </w:rPr>
              <w:t>2) jaki miałby być szacowany czas potrzebny na przeprowadzenie przez służbę techniczną badania, o którym mowa w art. 68h ust. 1 pkt 3?</w:t>
            </w:r>
          </w:p>
          <w:bookmarkEnd w:id="30"/>
          <w:p w14:paraId="062C0672" w14:textId="77777777" w:rsidR="0059404D" w:rsidRPr="00741466" w:rsidRDefault="0059404D" w:rsidP="0042202B">
            <w:pPr>
              <w:autoSpaceDE w:val="0"/>
              <w:autoSpaceDN w:val="0"/>
              <w:adjustRightInd w:val="0"/>
              <w:rPr>
                <w:rFonts w:cstheme="minorHAnsi"/>
                <w:b/>
              </w:rPr>
            </w:pPr>
            <w:r w:rsidRPr="00741466">
              <w:rPr>
                <w:rFonts w:cstheme="minorHAnsi"/>
                <w:b/>
              </w:rPr>
              <w:t>3) czy wprowadzenie powyżej opisanych rozwiązań jest wynikiem zobowiązań wynikających z regulacji UE i czy wobec tego analogiczne rozwiązania odnośnie rejestracji pojazdów spoza UE obowiązują/będą obowiązywać w innych państwach członkowskich?</w:t>
            </w:r>
          </w:p>
          <w:p w14:paraId="6200008E" w14:textId="77777777" w:rsidR="0059404D" w:rsidRPr="00741466" w:rsidRDefault="0059404D" w:rsidP="0042202B">
            <w:pPr>
              <w:autoSpaceDE w:val="0"/>
              <w:autoSpaceDN w:val="0"/>
              <w:adjustRightInd w:val="0"/>
              <w:rPr>
                <w:rFonts w:cstheme="minorHAnsi"/>
                <w:b/>
              </w:rPr>
            </w:pPr>
            <w:r w:rsidRPr="00741466">
              <w:rPr>
                <w:rFonts w:cstheme="minorHAnsi"/>
                <w:b/>
              </w:rPr>
              <w:t>4) czy Ministerstwo Infrastruktury byłoby skłonne rozważyć wprowadzenie określonych odstępstw od przedstawionych powyżej wymogów w odniesieniu do pojazdów sprowadzanych na potrzeby misji dyplomatycznych, urzędów konsularnych i członków ich personelu?</w:t>
            </w:r>
          </w:p>
          <w:p w14:paraId="7AAB15C8" w14:textId="2177B275" w:rsidR="0059404D" w:rsidRPr="00741466" w:rsidRDefault="0059404D" w:rsidP="0042202B">
            <w:pPr>
              <w:autoSpaceDE w:val="0"/>
              <w:autoSpaceDN w:val="0"/>
              <w:adjustRightInd w:val="0"/>
              <w:rPr>
                <w:rFonts w:cstheme="minorHAnsi"/>
                <w:b/>
              </w:rPr>
            </w:pPr>
            <w:r w:rsidRPr="00741466">
              <w:rPr>
                <w:rFonts w:cstheme="minorHAnsi"/>
                <w:b/>
              </w:rPr>
              <w:t>Przekazując powyższe uprzejmie wyjaśniam, że sygnalizuję powyższe wątpliwości nie tylko ze względu na wynikające z prawa międzynarodowego zobowiązania do zapewniania misjom warunków do niezakłóconego wykonywania ich funkcji, ale również ze względu na fakt, iż naczelną zasadą w relacjach międzynarodowych jest zasada wzajemności, a zatem wprowadzenie rozwiązań, które znacznie utrudnią wykonywanie misjom ich funkcji może doprowadzić do wprowadzenia przez inne państwa – w ramach retorsji – rozwiązań, które utrudnią naszym misjom korzystanie z pojazdów.</w:t>
            </w:r>
          </w:p>
        </w:tc>
        <w:tc>
          <w:tcPr>
            <w:tcW w:w="3827" w:type="dxa"/>
          </w:tcPr>
          <w:p w14:paraId="6A8CA5EC" w14:textId="34048DA2" w:rsidR="0059404D" w:rsidRPr="00832A87" w:rsidRDefault="0059404D" w:rsidP="0042202B">
            <w:pPr>
              <w:rPr>
                <w:rFonts w:cstheme="minorHAnsi"/>
                <w:b/>
              </w:rPr>
            </w:pPr>
            <w:r w:rsidRPr="00832A87">
              <w:rPr>
                <w:rFonts w:cstheme="minorHAnsi"/>
                <w:b/>
              </w:rPr>
              <w:t xml:space="preserve">Wprowadzono zmiany w UC95 w uzgodnieniu z MSZ i Mazowieckim Urzędem Wojewódzkim. </w:t>
            </w:r>
          </w:p>
          <w:p w14:paraId="509C08D5" w14:textId="0D20C8D8" w:rsidR="0059404D" w:rsidRDefault="0059404D" w:rsidP="0042202B">
            <w:pPr>
              <w:rPr>
                <w:rFonts w:cstheme="minorHAnsi"/>
                <w:b/>
              </w:rPr>
            </w:pPr>
            <w:r w:rsidRPr="00832A87">
              <w:rPr>
                <w:rFonts w:cstheme="minorHAnsi"/>
                <w:b/>
              </w:rPr>
              <w:t>Proponujemy, aby określając w rozporządzeniu wzór wniosku, o którym mowa w art. 68g ust. 1, umożliwić właścicielowi zaznaczenie, że pojazd należy do przedstawicielstwa dyplomatycznego, urzędu konsularnego i misji specjalnej państw obcych lub organizacji międzynarodowej, a także ich personelu korzystającego z przywilejów i immunitetów dyplomatycznych lub konsularnych na mocy ustaw, umów bądź powszechnie uznanych zwyczajów międzynarodowych lub na zasadzie wzajemności.</w:t>
            </w:r>
          </w:p>
          <w:p w14:paraId="3DC5B8D2" w14:textId="77777777" w:rsidR="0059404D" w:rsidRPr="00832A87" w:rsidRDefault="0059404D" w:rsidP="0042202B">
            <w:pPr>
              <w:rPr>
                <w:rFonts w:cstheme="minorHAnsi"/>
                <w:b/>
              </w:rPr>
            </w:pPr>
          </w:p>
          <w:p w14:paraId="0D0BAF8B" w14:textId="119D4EBC" w:rsidR="0059404D" w:rsidRPr="00832A87" w:rsidRDefault="0059404D" w:rsidP="0042202B">
            <w:pPr>
              <w:rPr>
                <w:rFonts w:cstheme="minorHAnsi"/>
                <w:b/>
              </w:rPr>
            </w:pPr>
            <w:r w:rsidRPr="00832A87">
              <w:rPr>
                <w:rFonts w:cstheme="minorHAnsi"/>
                <w:b/>
              </w:rPr>
              <w:t>W art. 68</w:t>
            </w:r>
            <w:r>
              <w:rPr>
                <w:rFonts w:cstheme="minorHAnsi"/>
                <w:b/>
              </w:rPr>
              <w:t>j ust. 4</w:t>
            </w:r>
            <w:r w:rsidRPr="00832A87">
              <w:rPr>
                <w:rFonts w:cstheme="minorHAnsi"/>
                <w:b/>
              </w:rPr>
              <w:t>:</w:t>
            </w:r>
          </w:p>
          <w:p w14:paraId="40D17935" w14:textId="2D57E2B9" w:rsidR="0059404D" w:rsidRPr="002839A7" w:rsidRDefault="0059404D" w:rsidP="0042202B">
            <w:pPr>
              <w:rPr>
                <w:rFonts w:cstheme="minorHAnsi"/>
                <w:b/>
                <w:i/>
              </w:rPr>
            </w:pPr>
            <w:r w:rsidRPr="002839A7">
              <w:rPr>
                <w:rFonts w:cstheme="minorHAnsi"/>
                <w:b/>
                <w:i/>
              </w:rPr>
              <w:t>„4.Uprawniony diagnosta wydaje, na wniosek właściciela, zaświadczenie o braku spełnienia wymagań, w zakresie emisji zanieczyszczeń, do wydania świadectwa krajowego indywidualnego dopuszczenia pojazdu niebędącego nowym pojazdem, w przypadku gdy pojazd należy do przedstawicielstwa dyplomatycznego, urzędu konsularnego i misji specjalnej państw obcych lub organizacji międzynarodowej, a także ich personelu korzystającego z przywilejów i immunitetów dyplomatycznych lub konsularnych na mocy ustaw, umów bądź powszechnie uznanych zwyczajów międzynarodowych lub na zasadzie wzajemności, a:</w:t>
            </w:r>
          </w:p>
          <w:p w14:paraId="3F23C0FE" w14:textId="77777777" w:rsidR="0059404D" w:rsidRPr="002839A7"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2839A7">
              <w:rPr>
                <w:rFonts w:asciiTheme="minorHAnsi" w:eastAsiaTheme="minorHAnsi" w:hAnsiTheme="minorHAnsi" w:cstheme="minorHAnsi"/>
                <w:b/>
                <w:bCs w:val="0"/>
                <w:i/>
                <w:sz w:val="22"/>
                <w:szCs w:val="22"/>
                <w:lang w:eastAsia="en-US"/>
              </w:rPr>
              <w:t>1)</w:t>
            </w:r>
            <w:r w:rsidRPr="002839A7">
              <w:rPr>
                <w:rFonts w:asciiTheme="minorHAnsi" w:eastAsiaTheme="minorHAnsi" w:hAnsiTheme="minorHAnsi" w:cstheme="minorHAnsi"/>
                <w:b/>
                <w:bCs w:val="0"/>
                <w:i/>
                <w:sz w:val="22"/>
                <w:szCs w:val="22"/>
                <w:lang w:eastAsia="en-US"/>
              </w:rPr>
              <w:tab/>
              <w:t>właściciel nie przedłożył wraz z wnioskiem dokumentów, o których mowa w art. 68j ust. 3 pkt 1, lub</w:t>
            </w:r>
          </w:p>
          <w:p w14:paraId="59AFA8D6" w14:textId="12A8D5D7" w:rsidR="0059404D" w:rsidRPr="002839A7" w:rsidRDefault="0059404D" w:rsidP="0042202B">
            <w:pPr>
              <w:pStyle w:val="ZPKTzmpktartykuempunktem"/>
              <w:spacing w:line="240" w:lineRule="auto"/>
              <w:jc w:val="left"/>
              <w:rPr>
                <w:rFonts w:asciiTheme="minorHAnsi" w:eastAsiaTheme="minorHAnsi" w:hAnsiTheme="minorHAnsi" w:cstheme="minorHAnsi"/>
                <w:b/>
                <w:bCs w:val="0"/>
                <w:i/>
                <w:sz w:val="22"/>
                <w:szCs w:val="22"/>
                <w:lang w:eastAsia="en-US"/>
              </w:rPr>
            </w:pPr>
            <w:r w:rsidRPr="002839A7">
              <w:rPr>
                <w:rFonts w:asciiTheme="minorHAnsi" w:eastAsiaTheme="minorHAnsi" w:hAnsiTheme="minorHAnsi" w:cstheme="minorHAnsi"/>
                <w:b/>
                <w:bCs w:val="0"/>
                <w:i/>
                <w:sz w:val="22"/>
                <w:szCs w:val="22"/>
                <w:lang w:eastAsia="en-US"/>
              </w:rPr>
              <w:t>2)</w:t>
            </w:r>
            <w:r w:rsidRPr="002839A7">
              <w:rPr>
                <w:rFonts w:asciiTheme="minorHAnsi" w:eastAsiaTheme="minorHAnsi" w:hAnsiTheme="minorHAnsi" w:cstheme="minorHAnsi"/>
                <w:b/>
                <w:bCs w:val="0"/>
                <w:i/>
                <w:sz w:val="22"/>
                <w:szCs w:val="22"/>
                <w:lang w:eastAsia="en-US"/>
              </w:rPr>
              <w:tab/>
              <w:t>przedłożone wraz z wnioskiem dokumenty nie potwierdzają spełnienia przez pojazd wymagań w zakresie emisji zanieczyszczeń określonych w przepisach wydanych na podstawie art. 68r ust. 1.</w:t>
            </w:r>
            <w:r>
              <w:rPr>
                <w:rFonts w:asciiTheme="minorHAnsi" w:eastAsiaTheme="minorHAnsi" w:hAnsiTheme="minorHAnsi" w:cstheme="minorHAnsi"/>
                <w:b/>
                <w:bCs w:val="0"/>
                <w:i/>
                <w:sz w:val="22"/>
                <w:szCs w:val="22"/>
                <w:lang w:eastAsia="en-US"/>
              </w:rPr>
              <w:t>”</w:t>
            </w:r>
          </w:p>
          <w:p w14:paraId="18EE4BB8" w14:textId="71374D28" w:rsidR="0059404D" w:rsidRDefault="0059404D" w:rsidP="0042202B">
            <w:pPr>
              <w:rPr>
                <w:rFonts w:cstheme="minorHAnsi"/>
                <w:b/>
              </w:rPr>
            </w:pPr>
          </w:p>
          <w:p w14:paraId="7197E7C5" w14:textId="77777777" w:rsidR="0059404D" w:rsidRPr="00832A87" w:rsidRDefault="0059404D" w:rsidP="0042202B">
            <w:pPr>
              <w:rPr>
                <w:rFonts w:cstheme="minorHAnsi"/>
                <w:b/>
              </w:rPr>
            </w:pPr>
          </w:p>
          <w:p w14:paraId="744FCE81" w14:textId="77777777" w:rsidR="0059404D" w:rsidRPr="00832A87" w:rsidRDefault="0059404D" w:rsidP="0042202B">
            <w:pPr>
              <w:rPr>
                <w:rFonts w:cstheme="minorHAnsi"/>
                <w:b/>
              </w:rPr>
            </w:pPr>
            <w:r w:rsidRPr="00832A87">
              <w:rPr>
                <w:rFonts w:cstheme="minorHAnsi"/>
                <w:b/>
              </w:rPr>
              <w:t xml:space="preserve">W art. 72 dodaje się ust. 2d: </w:t>
            </w:r>
          </w:p>
          <w:p w14:paraId="326C87A8" w14:textId="26E2D9DC" w:rsidR="0059404D" w:rsidRPr="002839A7" w:rsidRDefault="0059404D" w:rsidP="0042202B">
            <w:pPr>
              <w:pStyle w:val="ZLITUSTzmustliter"/>
              <w:spacing w:line="240" w:lineRule="auto"/>
              <w:ind w:left="0" w:firstLine="0"/>
              <w:jc w:val="left"/>
              <w:rPr>
                <w:rFonts w:asciiTheme="minorHAnsi" w:eastAsiaTheme="minorHAnsi" w:hAnsiTheme="minorHAnsi" w:cstheme="minorHAnsi"/>
                <w:b/>
                <w:bCs w:val="0"/>
                <w:i/>
                <w:sz w:val="22"/>
                <w:szCs w:val="22"/>
                <w:lang w:eastAsia="en-US"/>
              </w:rPr>
            </w:pPr>
            <w:r w:rsidRPr="002839A7">
              <w:rPr>
                <w:rFonts w:asciiTheme="minorHAnsi" w:eastAsiaTheme="minorHAnsi" w:hAnsiTheme="minorHAnsi" w:cstheme="minorHAnsi"/>
                <w:b/>
                <w:bCs w:val="0"/>
                <w:i/>
                <w:sz w:val="22"/>
                <w:szCs w:val="22"/>
                <w:lang w:eastAsia="en-US"/>
              </w:rPr>
              <w:t>„2d. W przypadku pojazdu, o którym mowa w art. 73 ust. 4a, zamiast świadectwa krajowego indywidualnego dopuszczenia pojazdu niebędącego nowym, o którym mowa w ust. 1 pkt 5, dopuszcza się przedstawienie zaświadczenia o braku spełnienia wymagań, w zakresie emisji zanieczyszczeń, do wydania świadectwa krajowego indywidualnego dopuszczenia pojazdu niebędącego nowym pojazdem, o którym mowa w art. 68j ust. 1 albo art. 68j ust. 4 ustawy z dnia 14 kwietnia 2023 r. o systemach homologacji pojazdów oraz ich wyposażenia.”</w:t>
            </w:r>
          </w:p>
          <w:p w14:paraId="1B3AD9C0" w14:textId="77777777" w:rsidR="0059404D" w:rsidRPr="00832A87" w:rsidRDefault="0059404D" w:rsidP="0042202B">
            <w:pPr>
              <w:rPr>
                <w:rFonts w:cstheme="minorHAnsi"/>
                <w:b/>
              </w:rPr>
            </w:pPr>
          </w:p>
          <w:p w14:paraId="3BC0600F" w14:textId="0E54377E" w:rsidR="0059404D" w:rsidRPr="00832A87" w:rsidRDefault="0059404D" w:rsidP="0042202B">
            <w:pPr>
              <w:rPr>
                <w:rFonts w:cstheme="minorHAnsi"/>
                <w:b/>
              </w:rPr>
            </w:pPr>
            <w:r w:rsidRPr="00832A87">
              <w:rPr>
                <w:rFonts w:cstheme="minorHAnsi"/>
                <w:b/>
              </w:rPr>
              <w:t>W art. 73 dodaje się ust. 4a i 4b:</w:t>
            </w:r>
          </w:p>
          <w:p w14:paraId="3E4F3C64" w14:textId="07B04392" w:rsidR="0059404D" w:rsidRPr="00832A87" w:rsidRDefault="0059404D" w:rsidP="0042202B">
            <w:pPr>
              <w:rPr>
                <w:rFonts w:cstheme="minorHAnsi"/>
                <w:b/>
                <w:i/>
                <w:iCs/>
              </w:rPr>
            </w:pPr>
            <w:r>
              <w:rPr>
                <w:rFonts w:cstheme="minorHAnsi"/>
                <w:b/>
              </w:rPr>
              <w:t>„</w:t>
            </w:r>
            <w:r w:rsidRPr="00832A87">
              <w:rPr>
                <w:rFonts w:cstheme="minorHAnsi"/>
                <w:b/>
                <w:i/>
              </w:rPr>
              <w:t xml:space="preserve">4a. Minister Spraw Zagranicznych wnioskuje, w indywidualnym przypadku z uwzględnieniem zasady wzajemności, o rejestrację pojazdu, o którym mowa w art. 73 ust. 4, dla którego wydane zostało zaświadczenie o braku spełnienia wymagań, w zakresie emisji zanieczyszczeń, do wydania świadectwa krajowego indywidualnego dopuszczenia pojazdu niebędącego nowym pojazdem, </w:t>
            </w:r>
            <w:r w:rsidRPr="00832A87">
              <w:rPr>
                <w:rFonts w:cstheme="minorHAnsi"/>
                <w:b/>
                <w:i/>
                <w:u w:val="single"/>
              </w:rPr>
              <w:t>dołączając do wniosku o rejestrację informację o terminie</w:t>
            </w:r>
            <w:r w:rsidRPr="00832A87">
              <w:rPr>
                <w:rFonts w:cstheme="minorHAnsi"/>
                <w:b/>
                <w:i/>
                <w:iCs/>
              </w:rPr>
              <w:t>:</w:t>
            </w:r>
          </w:p>
          <w:p w14:paraId="00CCA2FF" w14:textId="77777777" w:rsidR="0059404D" w:rsidRPr="00832A87" w:rsidRDefault="0059404D" w:rsidP="0042202B">
            <w:pPr>
              <w:numPr>
                <w:ilvl w:val="0"/>
                <w:numId w:val="9"/>
              </w:numPr>
              <w:rPr>
                <w:rFonts w:eastAsia="Times New Roman" w:cstheme="minorHAnsi"/>
                <w:b/>
                <w:i/>
              </w:rPr>
            </w:pPr>
            <w:r w:rsidRPr="00832A87">
              <w:rPr>
                <w:rFonts w:eastAsia="Times New Roman" w:cstheme="minorHAnsi"/>
                <w:b/>
                <w:i/>
              </w:rPr>
              <w:t xml:space="preserve">pobytu na terytorium RP właściciela pojazdu będącego członkiem personelu przedstawicielstwa dyplomatycznego, urzędu konsularnego i misji specjalnej państw obcych lub organizacji międzynarodowej korzystającego z przywilejów i immunitetów dyplomatycznych lub konsularnych na mocy ustaw, umów bądź powszechnie uznanych zwyczajów międzynarodowych lub na zasadzie wzajemności </w:t>
            </w:r>
          </w:p>
          <w:p w14:paraId="4595BBDF" w14:textId="77777777" w:rsidR="0059404D" w:rsidRPr="00832A87" w:rsidRDefault="0059404D" w:rsidP="0042202B">
            <w:pPr>
              <w:numPr>
                <w:ilvl w:val="0"/>
                <w:numId w:val="9"/>
              </w:numPr>
              <w:rPr>
                <w:rFonts w:eastAsia="Times New Roman" w:cstheme="minorHAnsi"/>
                <w:b/>
                <w:i/>
              </w:rPr>
            </w:pPr>
            <w:r w:rsidRPr="00832A87">
              <w:rPr>
                <w:rFonts w:eastAsia="Times New Roman" w:cstheme="minorHAnsi"/>
                <w:b/>
                <w:i/>
              </w:rPr>
              <w:t>użytkowania na terytorium RP pojazdu będącego własnością przedstawicielstwa dyplomatycznego, urzędu konsularnego i misji specjalnej państw obcych lub organizacji międzynarodowe</w:t>
            </w:r>
          </w:p>
          <w:p w14:paraId="1C552C70" w14:textId="77777777" w:rsidR="0059404D" w:rsidRPr="00832A87" w:rsidRDefault="0059404D" w:rsidP="0042202B">
            <w:pPr>
              <w:rPr>
                <w:rFonts w:cstheme="minorHAnsi"/>
                <w:b/>
                <w:i/>
              </w:rPr>
            </w:pPr>
          </w:p>
          <w:p w14:paraId="0A967C23" w14:textId="77E975A7" w:rsidR="0059404D" w:rsidRPr="00832A87" w:rsidRDefault="0059404D" w:rsidP="0042202B">
            <w:pPr>
              <w:rPr>
                <w:rFonts w:cstheme="minorHAnsi"/>
                <w:b/>
                <w:i/>
              </w:rPr>
            </w:pPr>
            <w:r w:rsidRPr="00832A87">
              <w:rPr>
                <w:rFonts w:cstheme="minorHAnsi"/>
                <w:b/>
                <w:i/>
              </w:rPr>
              <w:t>4b. Wojewoda Mazowiecki rejestruje pojazd</w:t>
            </w:r>
            <w:r w:rsidRPr="002839A7">
              <w:rPr>
                <w:rFonts w:cstheme="minorHAnsi"/>
                <w:b/>
                <w:i/>
              </w:rPr>
              <w:t xml:space="preserve">, </w:t>
            </w:r>
            <w:r w:rsidRPr="00832A87">
              <w:rPr>
                <w:rFonts w:cstheme="minorHAnsi"/>
                <w:b/>
                <w:i/>
                <w:u w:val="single"/>
              </w:rPr>
              <w:t>o którym mowa w</w:t>
            </w:r>
            <w:r>
              <w:rPr>
                <w:rFonts w:cstheme="minorHAnsi"/>
                <w:b/>
                <w:i/>
                <w:u w:val="single"/>
              </w:rPr>
              <w:t xml:space="preserve"> </w:t>
            </w:r>
            <w:r w:rsidRPr="00832A87">
              <w:rPr>
                <w:rFonts w:cstheme="minorHAnsi"/>
                <w:b/>
                <w:i/>
                <w:u w:val="single"/>
              </w:rPr>
              <w:t>ust. 4a,</w:t>
            </w:r>
            <w:r w:rsidRPr="00832A87">
              <w:rPr>
                <w:rFonts w:cstheme="minorHAnsi"/>
                <w:b/>
                <w:i/>
              </w:rPr>
              <w:t xml:space="preserve"> na czas:</w:t>
            </w:r>
          </w:p>
          <w:p w14:paraId="4A250E13" w14:textId="77777777" w:rsidR="0059404D" w:rsidRPr="00832A87" w:rsidRDefault="0059404D" w:rsidP="0042202B">
            <w:pPr>
              <w:numPr>
                <w:ilvl w:val="0"/>
                <w:numId w:val="10"/>
              </w:numPr>
              <w:rPr>
                <w:rFonts w:eastAsia="Times New Roman" w:cstheme="minorHAnsi"/>
                <w:b/>
                <w:i/>
              </w:rPr>
            </w:pPr>
            <w:r w:rsidRPr="00832A87">
              <w:rPr>
                <w:rFonts w:eastAsia="Times New Roman" w:cstheme="minorHAnsi"/>
                <w:b/>
                <w:i/>
              </w:rPr>
              <w:t>użytkowania pojazdu na terytorium RP – przez przedstawicielstwo dyplomatyczne, urząd konsularny, misję specjalną państw obcych lub organizacji międzynarodowe,</w:t>
            </w:r>
          </w:p>
          <w:p w14:paraId="0A99D40F" w14:textId="15F8E68B" w:rsidR="0059404D" w:rsidRPr="00832A87" w:rsidRDefault="0059404D" w:rsidP="0042202B">
            <w:pPr>
              <w:numPr>
                <w:ilvl w:val="0"/>
                <w:numId w:val="10"/>
              </w:numPr>
              <w:rPr>
                <w:rFonts w:eastAsia="Times New Roman" w:cstheme="minorHAnsi"/>
                <w:b/>
                <w:i/>
              </w:rPr>
            </w:pPr>
            <w:r w:rsidRPr="00832A87">
              <w:rPr>
                <w:rFonts w:eastAsia="Times New Roman" w:cstheme="minorHAnsi"/>
                <w:b/>
                <w:i/>
              </w:rPr>
              <w:t>pobytu na terytorium RP – personelu przedstawicielstwa dyplomatycznego, urzędu konsularnego i misji specjalnej państw obcych lub organizacji międzynarodowej korzystającego z przywilejów i immunitetów dyplomatycznych lub konsularnych na mocy ustaw, umów bądź powszechnie uznanych zwyczajów międzynarodowych lub na zasadzie wzajemności.</w:t>
            </w:r>
          </w:p>
          <w:p w14:paraId="4A68FF2B" w14:textId="77777777" w:rsidR="0059404D" w:rsidRPr="00832A87" w:rsidRDefault="0059404D" w:rsidP="0042202B">
            <w:pPr>
              <w:rPr>
                <w:rFonts w:cstheme="minorHAnsi"/>
                <w:b/>
                <w:i/>
              </w:rPr>
            </w:pPr>
          </w:p>
          <w:p w14:paraId="106F9837" w14:textId="0B8065E5" w:rsidR="0059404D" w:rsidRPr="00832A87" w:rsidRDefault="0059404D" w:rsidP="0042202B">
            <w:pPr>
              <w:rPr>
                <w:rFonts w:cstheme="minorHAnsi"/>
                <w:b/>
                <w:i/>
                <w:iCs/>
              </w:rPr>
            </w:pPr>
            <w:r>
              <w:rPr>
                <w:rFonts w:cstheme="minorHAnsi"/>
                <w:b/>
                <w:i/>
              </w:rPr>
              <w:t>Art. 72 ust. 3b: „</w:t>
            </w:r>
            <w:r w:rsidRPr="00832A87">
              <w:rPr>
                <w:rFonts w:cstheme="minorHAnsi"/>
                <w:b/>
                <w:i/>
              </w:rPr>
              <w:t>W przypadku wniosku o rejestrację, o której mowa w art. 73 ust. 1, pojazdu</w:t>
            </w:r>
            <w:r w:rsidRPr="00832A87">
              <w:rPr>
                <w:rFonts w:cstheme="minorHAnsi"/>
                <w:b/>
                <w:i/>
                <w:u w:val="single"/>
              </w:rPr>
              <w:t>, który był zarejestrowany w oparciu o art. 73 ust. 4b,</w:t>
            </w:r>
            <w:r w:rsidRPr="00832A87">
              <w:rPr>
                <w:rFonts w:cstheme="minorHAnsi"/>
                <w:b/>
                <w:i/>
              </w:rPr>
              <w:t xml:space="preserve"> jego właściciel obowiązany jest dołączyć świadectwo krajowego indywidualnego dopuszczenia pojazdu niebędącego nowym pojazdem.</w:t>
            </w:r>
            <w:r>
              <w:rPr>
                <w:rFonts w:cstheme="minorHAnsi"/>
                <w:b/>
                <w:i/>
              </w:rPr>
              <w:t>”</w:t>
            </w:r>
          </w:p>
        </w:tc>
        <w:tc>
          <w:tcPr>
            <w:tcW w:w="3686" w:type="dxa"/>
          </w:tcPr>
          <w:p w14:paraId="1242A1CC" w14:textId="2E246E89" w:rsidR="0059404D" w:rsidRPr="00832A87" w:rsidRDefault="005A144E" w:rsidP="0042202B">
            <w:pPr>
              <w:rPr>
                <w:rFonts w:cstheme="minorHAnsi"/>
                <w:b/>
              </w:rPr>
            </w:pPr>
            <w:r>
              <w:rPr>
                <w:rFonts w:cstheme="minorHAnsi"/>
                <w:b/>
              </w:rPr>
              <w:t>Brak przedstawiciela</w:t>
            </w:r>
            <w:r w:rsidR="00A15299">
              <w:rPr>
                <w:rFonts w:cstheme="minorHAnsi"/>
                <w:b/>
              </w:rPr>
              <w:t xml:space="preserve"> MSZ</w:t>
            </w:r>
            <w:r w:rsidR="000E76C9">
              <w:rPr>
                <w:rFonts w:cstheme="minorHAnsi"/>
                <w:b/>
              </w:rPr>
              <w:t xml:space="preserve"> na konferencji</w:t>
            </w:r>
            <w:r w:rsidR="00A15299">
              <w:rPr>
                <w:rFonts w:cstheme="minorHAnsi"/>
                <w:b/>
              </w:rPr>
              <w:t xml:space="preserve">. </w:t>
            </w:r>
          </w:p>
        </w:tc>
      </w:tr>
      <w:tr w:rsidR="0059404D" w:rsidRPr="00F515D6" w14:paraId="101DC67E" w14:textId="2145BB52" w:rsidTr="00D76FE7">
        <w:tc>
          <w:tcPr>
            <w:tcW w:w="562" w:type="dxa"/>
          </w:tcPr>
          <w:p w14:paraId="3F258CE2" w14:textId="77777777" w:rsidR="0059404D" w:rsidRPr="00A258B6" w:rsidRDefault="0059404D" w:rsidP="0042202B">
            <w:pPr>
              <w:rPr>
                <w:rFonts w:cstheme="minorHAnsi"/>
                <w:b/>
              </w:rPr>
            </w:pPr>
            <w:r w:rsidRPr="00A258B6">
              <w:rPr>
                <w:rFonts w:cstheme="minorHAnsi"/>
                <w:b/>
              </w:rPr>
              <w:t>34</w:t>
            </w:r>
          </w:p>
        </w:tc>
        <w:tc>
          <w:tcPr>
            <w:tcW w:w="993" w:type="dxa"/>
          </w:tcPr>
          <w:p w14:paraId="637FFB43" w14:textId="77777777" w:rsidR="0059404D" w:rsidRDefault="0059404D" w:rsidP="0042202B">
            <w:pPr>
              <w:rPr>
                <w:rFonts w:cstheme="minorHAnsi"/>
                <w:b/>
              </w:rPr>
            </w:pPr>
            <w:r w:rsidRPr="00A258B6">
              <w:rPr>
                <w:rFonts w:cstheme="minorHAnsi"/>
                <w:b/>
              </w:rPr>
              <w:t>MFiG (MRiT)</w:t>
            </w:r>
          </w:p>
          <w:p w14:paraId="392FF293" w14:textId="77777777" w:rsidR="0059404D" w:rsidRDefault="0059404D" w:rsidP="0042202B">
            <w:pPr>
              <w:rPr>
                <w:rFonts w:cstheme="minorHAnsi"/>
                <w:b/>
              </w:rPr>
            </w:pPr>
          </w:p>
          <w:p w14:paraId="7F79D4C1" w14:textId="2189F4ED" w:rsidR="0059404D" w:rsidRDefault="0059404D" w:rsidP="0042202B">
            <w:pPr>
              <w:rPr>
                <w:rFonts w:cstheme="minorHAnsi"/>
                <w:b/>
                <w:color w:val="00B050"/>
              </w:rPr>
            </w:pPr>
            <w:r>
              <w:rPr>
                <w:rFonts w:cstheme="minorHAnsi"/>
                <w:b/>
                <w:color w:val="00B050"/>
              </w:rPr>
              <w:t>+uwaga 13 RCL (art. 68s ust. 1 pkt 4)</w:t>
            </w:r>
          </w:p>
          <w:p w14:paraId="7FE3EAC4" w14:textId="77777777" w:rsidR="0059404D" w:rsidRDefault="0059404D" w:rsidP="0042202B">
            <w:pPr>
              <w:rPr>
                <w:rFonts w:cstheme="minorHAnsi"/>
                <w:b/>
                <w:color w:val="00B050"/>
              </w:rPr>
            </w:pPr>
          </w:p>
          <w:p w14:paraId="65B26EBE" w14:textId="77777777" w:rsidR="0059404D" w:rsidRDefault="0059404D" w:rsidP="0042202B">
            <w:pPr>
              <w:rPr>
                <w:rFonts w:cstheme="minorHAnsi"/>
                <w:b/>
                <w:color w:val="00B050"/>
              </w:rPr>
            </w:pPr>
            <w:r>
              <w:rPr>
                <w:rFonts w:cstheme="minorHAnsi"/>
                <w:b/>
                <w:color w:val="00B050"/>
              </w:rPr>
              <w:t>+ uwaga 35 MFiG (art. 68s ust. 1 pkt 1)</w:t>
            </w:r>
          </w:p>
          <w:p w14:paraId="094F4D83" w14:textId="77777777" w:rsidR="0059404D" w:rsidRDefault="0059404D" w:rsidP="0042202B">
            <w:pPr>
              <w:rPr>
                <w:rFonts w:cstheme="minorHAnsi"/>
                <w:b/>
                <w:color w:val="00B050"/>
              </w:rPr>
            </w:pPr>
          </w:p>
          <w:p w14:paraId="425D4FF0" w14:textId="77777777" w:rsidR="0059404D" w:rsidRDefault="0059404D" w:rsidP="0042202B">
            <w:pPr>
              <w:rPr>
                <w:rFonts w:cstheme="minorHAnsi"/>
                <w:b/>
                <w:color w:val="00B050"/>
              </w:rPr>
            </w:pPr>
            <w:r>
              <w:rPr>
                <w:rFonts w:cstheme="minorHAnsi"/>
                <w:b/>
                <w:color w:val="00B050"/>
              </w:rPr>
              <w:t>+uwaga 59 MC (art. 68s ust. 1 pkt 16)</w:t>
            </w:r>
          </w:p>
          <w:p w14:paraId="3DAA927F" w14:textId="77777777" w:rsidR="0059404D" w:rsidRDefault="0059404D" w:rsidP="0042202B">
            <w:pPr>
              <w:rPr>
                <w:rFonts w:cstheme="minorHAnsi"/>
                <w:b/>
                <w:color w:val="00B050"/>
              </w:rPr>
            </w:pPr>
          </w:p>
          <w:p w14:paraId="10D0909E" w14:textId="77777777" w:rsidR="0059404D" w:rsidRDefault="0059404D" w:rsidP="0042202B">
            <w:pPr>
              <w:rPr>
                <w:rFonts w:cstheme="minorHAnsi"/>
                <w:b/>
                <w:color w:val="00B050"/>
              </w:rPr>
            </w:pPr>
            <w:r>
              <w:rPr>
                <w:rFonts w:cstheme="minorHAnsi"/>
                <w:b/>
                <w:color w:val="00B050"/>
              </w:rPr>
              <w:t>+uwaga 86 MC (art. 68s ust. 1 pkt 18)</w:t>
            </w:r>
          </w:p>
          <w:p w14:paraId="79733583" w14:textId="77777777" w:rsidR="0059404D" w:rsidRDefault="0059404D" w:rsidP="0042202B">
            <w:pPr>
              <w:rPr>
                <w:rFonts w:cstheme="minorHAnsi"/>
                <w:b/>
                <w:color w:val="00B050"/>
              </w:rPr>
            </w:pPr>
          </w:p>
          <w:p w14:paraId="2C48BC7D" w14:textId="77777777" w:rsidR="0059404D" w:rsidRDefault="0059404D" w:rsidP="0042202B">
            <w:pPr>
              <w:rPr>
                <w:rFonts w:cstheme="minorHAnsi"/>
                <w:b/>
                <w:color w:val="00B050"/>
              </w:rPr>
            </w:pPr>
            <w:r>
              <w:rPr>
                <w:rFonts w:cstheme="minorHAnsi"/>
                <w:b/>
                <w:color w:val="00B050"/>
              </w:rPr>
              <w:t>+uwaga 88 MC (art. 68s ust. 1 pkt 20)</w:t>
            </w:r>
          </w:p>
          <w:p w14:paraId="1E9AA254" w14:textId="77777777" w:rsidR="0059404D" w:rsidRPr="00A258B6" w:rsidRDefault="0059404D" w:rsidP="0042202B">
            <w:pPr>
              <w:rPr>
                <w:rFonts w:cstheme="minorHAnsi"/>
                <w:b/>
              </w:rPr>
            </w:pPr>
          </w:p>
        </w:tc>
        <w:tc>
          <w:tcPr>
            <w:tcW w:w="1701" w:type="dxa"/>
          </w:tcPr>
          <w:p w14:paraId="2D523D65" w14:textId="77777777" w:rsidR="0059404D" w:rsidRPr="00A258B6" w:rsidRDefault="0059404D" w:rsidP="0042202B">
            <w:pPr>
              <w:rPr>
                <w:rFonts w:cstheme="minorHAnsi"/>
                <w:b/>
              </w:rPr>
            </w:pPr>
            <w:r w:rsidRPr="00A258B6">
              <w:rPr>
                <w:rFonts w:cstheme="minorHAnsi"/>
                <w:b/>
              </w:rPr>
              <w:t>Art. 68s ust. 1 pkt 4 UH</w:t>
            </w:r>
          </w:p>
        </w:tc>
        <w:tc>
          <w:tcPr>
            <w:tcW w:w="5953" w:type="dxa"/>
          </w:tcPr>
          <w:p w14:paraId="470A0D1B" w14:textId="77777777" w:rsidR="0059404D" w:rsidRPr="00A258B6" w:rsidRDefault="0059404D" w:rsidP="0042202B">
            <w:pPr>
              <w:rPr>
                <w:rFonts w:cstheme="minorHAnsi"/>
                <w:b/>
              </w:rPr>
            </w:pPr>
            <w:r w:rsidRPr="00A258B6">
              <w:rPr>
                <w:rFonts w:cstheme="minorHAnsi"/>
                <w:b/>
              </w:rPr>
              <w:t>Ustawa – Prawo przedsiębiorców (dalej: PP) stanowi fundamentalny zbiór gwarancji proceduralnych mających chronić przedsiębiorców w Polsce m. in. przed uciążliwością kontroli, jednak projekt wydaje się rezygnować z większości z nich. Proponowane wyłączenie kluczowych artykułów PP na mocy art. 68s ust. 1 pkt 4 projektu oraz wprowadzenie nowych uprawnień Dyrektora TDT może generować szereg istotnych zagrożeń dla funkcjonowania podmiotów gospodarczych. W projekcie przewidziano wyłączenie stosowania istotnych artykułów PP: art. 47–49, art. 50, art. 51, art. 54, art. 55 oraz art. 57–59. Ten mechanizm kompleksowego uchylenia podstawowych zasad kontroli osłabia pozycję prawną kontrolowanego przedsiębiorcy.</w:t>
            </w:r>
          </w:p>
          <w:p w14:paraId="67A58E3C" w14:textId="77777777" w:rsidR="0059404D" w:rsidRPr="00A258B6" w:rsidRDefault="0059404D" w:rsidP="0042202B">
            <w:pPr>
              <w:rPr>
                <w:rFonts w:cstheme="minorHAnsi"/>
                <w:b/>
                <w:bCs/>
              </w:rPr>
            </w:pPr>
            <w:r w:rsidRPr="00A258B6">
              <w:rPr>
                <w:rFonts w:cstheme="minorHAnsi"/>
                <w:b/>
                <w:bCs/>
              </w:rPr>
              <w:t>a) Wyłączenie art. 47 i art. 48 PP (planowanie kontroli i zawiadomienie)</w:t>
            </w:r>
          </w:p>
          <w:p w14:paraId="554E944C" w14:textId="77777777" w:rsidR="0059404D" w:rsidRPr="00A258B6" w:rsidRDefault="0059404D" w:rsidP="0042202B">
            <w:pPr>
              <w:rPr>
                <w:rFonts w:cstheme="minorHAnsi"/>
                <w:b/>
              </w:rPr>
            </w:pPr>
            <w:r w:rsidRPr="00A258B6">
              <w:rPr>
                <w:rFonts w:cstheme="minorHAnsi"/>
                <w:b/>
              </w:rPr>
              <w:t>Projekt usuwa obowiązek planowania kontroli na podstawie kryteriów ryzyka (art. 47 PP) oraz obowiązek uprzedniego zawiadomienia o kontroli (art. 48 PP), zastępując je w art. 68w regułą kontroli niezapowiedzianych, opartych na wewnętrznej analizie ryzyka technicznego, w tym profilach z Krajowej Administracji Skarbowej. Skutkiem tego może być utrata przewidywalności i prawa do proceduralnego przygotowania się do inspekcji. Przedsiębiorca nie będzie miał czasu na skompletowanie dokumentów czy zapewnienie obecności w trakcie kontroli, co zwiększa ryzyko popełnienia błędów proceduralnych w jej trakcie.</w:t>
            </w:r>
          </w:p>
          <w:p w14:paraId="429C1528" w14:textId="77777777" w:rsidR="0059404D" w:rsidRPr="00A258B6" w:rsidRDefault="0059404D" w:rsidP="0042202B">
            <w:pPr>
              <w:rPr>
                <w:rFonts w:cstheme="minorHAnsi"/>
                <w:b/>
                <w:bCs/>
              </w:rPr>
            </w:pPr>
            <w:r w:rsidRPr="00A258B6">
              <w:rPr>
                <w:rFonts w:cstheme="minorHAnsi"/>
                <w:b/>
                <w:bCs/>
              </w:rPr>
              <w:t>b) Wyłączenie art. 49 PP (legitymacja i doręczenia upoważnienia)</w:t>
            </w:r>
          </w:p>
          <w:p w14:paraId="78E4686F" w14:textId="77777777" w:rsidR="0059404D" w:rsidRPr="00A258B6" w:rsidRDefault="0059404D" w:rsidP="0042202B">
            <w:pPr>
              <w:rPr>
                <w:rFonts w:cstheme="minorHAnsi"/>
                <w:b/>
              </w:rPr>
            </w:pPr>
            <w:r w:rsidRPr="00A258B6">
              <w:rPr>
                <w:rFonts w:cstheme="minorHAnsi"/>
                <w:b/>
              </w:rPr>
              <w:t xml:space="preserve">Art. 68s ust. 1 pkt 4 wyłącza również stosowanie art. 49 PP, który reguluje kluczowe formalności wszczęcia kontroli, takie jak obowiązek okazania </w:t>
            </w:r>
            <w:bookmarkStart w:id="31" w:name="_Hlk210386578"/>
            <w:r w:rsidRPr="00A258B6">
              <w:rPr>
                <w:rFonts w:cstheme="minorHAnsi"/>
                <w:b/>
              </w:rPr>
              <w:t>legitymacji i doręczenia upoważnienia</w:t>
            </w:r>
            <w:bookmarkEnd w:id="31"/>
            <w:r w:rsidRPr="00A258B6">
              <w:rPr>
                <w:rFonts w:cstheme="minorHAnsi"/>
                <w:b/>
              </w:rPr>
              <w:t xml:space="preserve"> do przeprowadzenia kontroli. Projekt wprowadza własne, szczegółowe rozwiązania, które ostatecznie osłabiają prawo przedsiębiorcy do weryfikacji tożsamości i umocowania kontrolującego, gdy ta kontrola dopiero się rozpoczyna. </w:t>
            </w:r>
          </w:p>
          <w:p w14:paraId="6D876069" w14:textId="77777777" w:rsidR="0059404D" w:rsidRPr="00A258B6" w:rsidRDefault="0059404D" w:rsidP="0042202B">
            <w:pPr>
              <w:rPr>
                <w:rFonts w:cstheme="minorHAnsi"/>
                <w:b/>
                <w:bCs/>
              </w:rPr>
            </w:pPr>
            <w:r w:rsidRPr="00A258B6">
              <w:rPr>
                <w:rFonts w:cstheme="minorHAnsi"/>
                <w:b/>
                <w:bCs/>
              </w:rPr>
              <w:t>c) Wyłączenie art. 50 PP (zasada obecności przedsiębiorcy)</w:t>
            </w:r>
          </w:p>
          <w:p w14:paraId="7D8A802C" w14:textId="77777777" w:rsidR="0059404D" w:rsidRPr="00A258B6" w:rsidRDefault="0059404D" w:rsidP="0042202B">
            <w:pPr>
              <w:rPr>
                <w:rFonts w:cstheme="minorHAnsi"/>
                <w:b/>
              </w:rPr>
            </w:pPr>
            <w:r w:rsidRPr="00A258B6">
              <w:rPr>
                <w:rFonts w:cstheme="minorHAnsi"/>
                <w:b/>
              </w:rPr>
              <w:t>Art. 68s ust. 1 pkt 4 wyłącza stosowanie art. 50 PP, który ustanawia zasadę wykonywania czynności kontrolnych w obecności przedsiębiorcy lub osoby przez niego upoważnionej. Uchylenie tej zasady otwiera organowi kontroli drogę do prowadzenia czynności kontrolnych w szerszym zakresie bez stałej i aktywnej obecności kontrolowanego. Może to skutkować zwiększonym ryzykiem naruszenia praw lub interesów przedsiębiorcy poprzez wykonywanie oględzin, pobieranie próbek czy zabezpieczanie dowodów bez możliwości natychmiastowego wyjaśnienia lub nadzorowania tych czynności przez reprezentanta przedsiębiorcy.</w:t>
            </w:r>
          </w:p>
          <w:p w14:paraId="456404B5" w14:textId="77777777" w:rsidR="0059404D" w:rsidRPr="00A258B6" w:rsidRDefault="0059404D" w:rsidP="0042202B">
            <w:pPr>
              <w:rPr>
                <w:rFonts w:cstheme="minorHAnsi"/>
                <w:b/>
                <w:bCs/>
              </w:rPr>
            </w:pPr>
            <w:r w:rsidRPr="00A258B6">
              <w:rPr>
                <w:rFonts w:cstheme="minorHAnsi"/>
                <w:b/>
                <w:bCs/>
              </w:rPr>
              <w:t>d) Wyłączenie art. 51 PP (miejsce i forma kontroli)</w:t>
            </w:r>
          </w:p>
          <w:p w14:paraId="29155CD0" w14:textId="77777777" w:rsidR="0059404D" w:rsidRPr="00A258B6" w:rsidRDefault="0059404D" w:rsidP="0042202B">
            <w:pPr>
              <w:rPr>
                <w:rFonts w:cstheme="minorHAnsi"/>
                <w:b/>
              </w:rPr>
            </w:pPr>
            <w:r w:rsidRPr="00A258B6">
              <w:rPr>
                <w:rFonts w:cstheme="minorHAnsi"/>
                <w:b/>
              </w:rPr>
              <w:t>Projekt wyłącza art. 51 PP, który stanowi, że kontrola jest przeprowadzana w siedzibie lub miejscu wykonywania działalności oraz wymaga zgody przedsiębiorcy na prowadzenie jej w siedzibie organu lub w sposób zdalny (art. 51 ust. 3a PP). Projektowana zmiana oznacza utratę dotychczasowej kontroli przez przedsiębiorcę nad miejscem i formą wykonywania czynności.</w:t>
            </w:r>
          </w:p>
          <w:p w14:paraId="33964EDC" w14:textId="77777777" w:rsidR="0059404D" w:rsidRPr="00A258B6" w:rsidRDefault="0059404D" w:rsidP="0042202B">
            <w:pPr>
              <w:rPr>
                <w:rFonts w:cstheme="minorHAnsi"/>
                <w:b/>
                <w:bCs/>
              </w:rPr>
            </w:pPr>
            <w:r w:rsidRPr="00A258B6">
              <w:rPr>
                <w:rFonts w:cstheme="minorHAnsi"/>
                <w:b/>
                <w:bCs/>
              </w:rPr>
              <w:t>e) Wyłączenie art. 54 PP (zakaz równoczesności kontroli)</w:t>
            </w:r>
          </w:p>
          <w:p w14:paraId="285C29B6" w14:textId="77777777" w:rsidR="0059404D" w:rsidRPr="00A258B6" w:rsidRDefault="0059404D" w:rsidP="0042202B">
            <w:pPr>
              <w:rPr>
                <w:rFonts w:cstheme="minorHAnsi"/>
                <w:b/>
              </w:rPr>
            </w:pPr>
            <w:r w:rsidRPr="00A258B6">
              <w:rPr>
                <w:rFonts w:cstheme="minorHAnsi"/>
                <w:b/>
              </w:rPr>
              <w:t>Derogacja obejmuje art. 54 PP, który zakazuje równoczesnego prowadzenia więcej niż jednej kontroli u przedsiębiorcy. Utrata tej gwarancji oznacza, że organ może prowadzić kontrolę niezależnie od innych toczących się postępowań (np. skarbowych), co może skutkować nadmiernym skumulowaniem obciążeń administracyjnych i ryzykiem paraliżu operacyjnego działalności gospodarczej.</w:t>
            </w:r>
          </w:p>
          <w:p w14:paraId="72B8F225" w14:textId="77777777" w:rsidR="0059404D" w:rsidRPr="00A258B6" w:rsidRDefault="0059404D" w:rsidP="0042202B">
            <w:pPr>
              <w:rPr>
                <w:rFonts w:cstheme="minorHAnsi"/>
                <w:b/>
                <w:bCs/>
              </w:rPr>
            </w:pPr>
            <w:r w:rsidRPr="00A258B6">
              <w:rPr>
                <w:rFonts w:cstheme="minorHAnsi"/>
                <w:b/>
                <w:bCs/>
              </w:rPr>
              <w:t>f) Wyłączenie art. 55 PP (limit czasu trwania kontroli)</w:t>
            </w:r>
          </w:p>
          <w:p w14:paraId="3C2E7D23" w14:textId="77777777" w:rsidR="0059404D" w:rsidRPr="00A258B6" w:rsidRDefault="0059404D" w:rsidP="0042202B">
            <w:pPr>
              <w:rPr>
                <w:rFonts w:cstheme="minorHAnsi"/>
                <w:b/>
              </w:rPr>
            </w:pPr>
            <w:r w:rsidRPr="00A258B6">
              <w:rPr>
                <w:rFonts w:cstheme="minorHAnsi"/>
                <w:b/>
              </w:rPr>
              <w:t>Art. 68s ust. 1 pkt 4 uchyla stosowanie art. 55 PP, który ustanawia limity czasowe dla wszystkich kontroli organu w jednym roku kalendarzowym. Usunięcie tego pułapu naraża przedsiębiorców, szczególnie małe i średnie firmy, na nieograniczoną w czasie ingerencję organu. Brak ram czasowych może zmniejszać motywację organu kontroli do szybkiego działania i prowadzić do ryzyka przewlekłości postępowania kosztem stabilności operacyjnej przedsiębiorcy.</w:t>
            </w:r>
          </w:p>
          <w:p w14:paraId="5E837FC1" w14:textId="77777777" w:rsidR="0059404D" w:rsidRPr="00A258B6" w:rsidRDefault="0059404D" w:rsidP="0042202B">
            <w:pPr>
              <w:rPr>
                <w:rFonts w:cstheme="minorHAnsi"/>
                <w:b/>
                <w:bCs/>
              </w:rPr>
            </w:pPr>
            <w:r w:rsidRPr="00A258B6">
              <w:rPr>
                <w:rFonts w:cstheme="minorHAnsi"/>
                <w:b/>
                <w:bCs/>
              </w:rPr>
              <w:t>g) Wyłączenie art. 57 PP (obowiązek prowadzenia książki kontroli)</w:t>
            </w:r>
          </w:p>
          <w:p w14:paraId="75C8F95C" w14:textId="77777777" w:rsidR="0059404D" w:rsidRPr="00A258B6" w:rsidRDefault="0059404D" w:rsidP="0042202B">
            <w:pPr>
              <w:rPr>
                <w:rFonts w:cstheme="minorHAnsi"/>
                <w:b/>
              </w:rPr>
            </w:pPr>
            <w:r w:rsidRPr="00A258B6">
              <w:rPr>
                <w:rFonts w:cstheme="minorHAnsi"/>
                <w:b/>
              </w:rPr>
              <w:t>Zniesione zostaje również stosowanie art. 57 PP, który nakłada na przedsiębiorcę obowiązek prowadzenia i okazywania kontrolującemu książki kontroli w celu dokumentowania wizyt organów. Książka kontroli stanowi dla przedsiębiorcy narzędzie do bieżącego dokumentowania i monitorowania liczby oraz zakresu kontroli przeprowadzanych przez wszystkie organy, co – w kontekście zniesienia zakazu równoległości (art. 54 PP) – zwiększa jego poczucie niepewności i brak pełnej wiedzy o obciążeniach administracyjnych.</w:t>
            </w:r>
          </w:p>
          <w:p w14:paraId="3A132DFE" w14:textId="77777777" w:rsidR="0059404D" w:rsidRPr="00A258B6" w:rsidRDefault="0059404D" w:rsidP="0042202B">
            <w:pPr>
              <w:rPr>
                <w:rFonts w:cstheme="minorHAnsi"/>
                <w:b/>
                <w:bCs/>
              </w:rPr>
            </w:pPr>
            <w:r w:rsidRPr="00A258B6">
              <w:rPr>
                <w:rFonts w:cstheme="minorHAnsi"/>
                <w:b/>
                <w:bCs/>
              </w:rPr>
              <w:t>h) Wyłączenie art. 58 PP (zakaz powtórnych kontroli)</w:t>
            </w:r>
          </w:p>
          <w:p w14:paraId="0CD82E96" w14:textId="77777777" w:rsidR="0059404D" w:rsidRPr="00A258B6" w:rsidRDefault="0059404D" w:rsidP="0042202B">
            <w:pPr>
              <w:rPr>
                <w:rFonts w:cstheme="minorHAnsi"/>
                <w:b/>
              </w:rPr>
            </w:pPr>
            <w:r w:rsidRPr="00A258B6">
              <w:rPr>
                <w:rFonts w:cstheme="minorHAnsi"/>
                <w:b/>
              </w:rPr>
              <w:t>Derogacja obejmuje także art. 58 PP, który wprowadza zasadę, że organ kontroli nie przeprowadza kontroli dotyczącej przedmiotu objętego uprzednio zakończoną kontrolą przeprowadzoną przez ten sam organ. Generalne wyłączenie tego artykułu w projekcie usuwa podstawową barierę chroniącą przedsiębiorcę przed nadmierną i powtarzalną ingerencją ze strony organu kontroli.</w:t>
            </w:r>
          </w:p>
          <w:p w14:paraId="5C7FE4A4" w14:textId="77777777" w:rsidR="0059404D" w:rsidRPr="00A258B6" w:rsidRDefault="0059404D" w:rsidP="0042202B">
            <w:pPr>
              <w:rPr>
                <w:rFonts w:cstheme="minorHAnsi"/>
                <w:b/>
                <w:bCs/>
              </w:rPr>
            </w:pPr>
            <w:r w:rsidRPr="00A258B6">
              <w:rPr>
                <w:rFonts w:cstheme="minorHAnsi"/>
                <w:b/>
                <w:bCs/>
              </w:rPr>
              <w:t>i) Wyłączenie art. 59 PP (prawo do sprzeciwu proceduralnego)</w:t>
            </w:r>
          </w:p>
          <w:p w14:paraId="3173519A" w14:textId="77777777" w:rsidR="0059404D" w:rsidRPr="00A258B6" w:rsidRDefault="0059404D" w:rsidP="0042202B">
            <w:pPr>
              <w:rPr>
                <w:rFonts w:cstheme="minorHAnsi"/>
                <w:b/>
              </w:rPr>
            </w:pPr>
            <w:r w:rsidRPr="00A258B6">
              <w:rPr>
                <w:rFonts w:cstheme="minorHAnsi"/>
                <w:b/>
              </w:rPr>
              <w:t>Dotkliwe będzie także niestosowanie art. 59 PP, który przyznaje przedsiębiorcy prawo do wniesienia sprzeciwu wobec naruszeń proceduralnych, z efektem wstrzymania czynności kontrolnych. Eliminacja tego środka oznacza utratę natychmiastowej obrony proceduralnej i może spowodować utratę możliwości weryfikacji legalności postępowania w trakcie jego trwania.</w:t>
            </w:r>
          </w:p>
          <w:p w14:paraId="1EBAEB3D" w14:textId="77777777" w:rsidR="0059404D" w:rsidRPr="00A258B6" w:rsidRDefault="0059404D" w:rsidP="0042202B">
            <w:pPr>
              <w:rPr>
                <w:rFonts w:cstheme="minorHAnsi"/>
                <w:b/>
              </w:rPr>
            </w:pPr>
            <w:r w:rsidRPr="00A258B6">
              <w:rPr>
                <w:rFonts w:cstheme="minorHAnsi"/>
                <w:b/>
              </w:rPr>
              <w:t>Mając powyższe na uwadze, należy podkreślić, że PP</w:t>
            </w:r>
            <w:r w:rsidRPr="00A258B6">
              <w:rPr>
                <w:rFonts w:cstheme="minorHAnsi"/>
                <w:b/>
                <w:bCs/>
              </w:rPr>
              <w:t xml:space="preserve"> </w:t>
            </w:r>
            <w:r w:rsidRPr="00A258B6">
              <w:rPr>
                <w:rFonts w:cstheme="minorHAnsi"/>
                <w:b/>
              </w:rPr>
              <w:t xml:space="preserve">zawiera w swojej konstrukcji mechanizmy umożliwiające organom kontroli odstępstwo od standardowych gwarancji proceduralnych w sytuacjach nadzwyczajnych. Dotyczy to w szczególności przepisów takich jak art. 47, art. 48, art. 50, art. 54 i art. 55 PP, które regulują planowanie, zawiadomienie, obecność przedsiębiorcy, zakaz równoległości oraz limit czasu trwania kontroli. PP wprost zezwala na niestosowanie tych zasad w przypadkach, gdy przeprowadzenie kontroli jest uzasadnione bezpośrednim zagrożeniem życia, zdrowia lub środowiska, albo gdy jest niezbędne dla przeciwdziałania popełnieniu przestępstwa lub wykroczenia, przestępstwa skarbowego lub wykroczenia skarbowego, lub zabezpieczenia dowodów jego popełnienia. </w:t>
            </w:r>
          </w:p>
          <w:p w14:paraId="300E5B9C" w14:textId="531448A2" w:rsidR="0059404D" w:rsidRPr="00A258B6" w:rsidRDefault="0059404D" w:rsidP="0042202B">
            <w:pPr>
              <w:rPr>
                <w:rFonts w:cstheme="minorHAnsi"/>
                <w:b/>
              </w:rPr>
            </w:pPr>
            <w:r w:rsidRPr="00A258B6">
              <w:rPr>
                <w:rFonts w:cstheme="minorHAnsi"/>
                <w:b/>
              </w:rPr>
              <w:t>W związku z tym generalne wyłączenie stosowania wyżej wymienionych artykułów PP w przedmiotowym projekcie ustawy może być postrzegane jako nadmiarowe, w szczególności, że PP już teraz dostarcza Dyrektorowi TDT instrumenty do niezwłocznych działań w przypadku zagrożenia bezpieczeństwa publicznego, bez konieczności przestrzegania limitów i zawiadomień. W związku z tym nieuzasadnione wydaje się trwałe wyłączanie tych gwarancji dla przedsiębiorców w całym, również rutynowym, zakresie kontroli nadzoru rynku</w:t>
            </w:r>
          </w:p>
        </w:tc>
        <w:tc>
          <w:tcPr>
            <w:tcW w:w="3827" w:type="dxa"/>
          </w:tcPr>
          <w:p w14:paraId="592E62FA" w14:textId="7972D063" w:rsidR="0059404D" w:rsidRDefault="0059404D" w:rsidP="0042202B">
            <w:pPr>
              <w:rPr>
                <w:rFonts w:cstheme="minorHAnsi"/>
                <w:b/>
              </w:rPr>
            </w:pPr>
            <w:r w:rsidRPr="00A258B6">
              <w:rPr>
                <w:rFonts w:cstheme="minorHAnsi"/>
                <w:b/>
              </w:rPr>
              <w:t>Uwaga wyjaśniona –</w:t>
            </w:r>
            <w:r>
              <w:rPr>
                <w:rFonts w:cstheme="minorHAnsi"/>
                <w:b/>
              </w:rPr>
              <w:t xml:space="preserve"> </w:t>
            </w:r>
            <w:r w:rsidRPr="000206C8">
              <w:rPr>
                <w:rFonts w:cstheme="minorHAnsi"/>
                <w:b/>
              </w:rPr>
              <w:t>wyjaśnienie przyczyn wyłączenia przepisów Prawa przedsiębiorców</w:t>
            </w:r>
            <w:r>
              <w:rPr>
                <w:rFonts w:cstheme="minorHAnsi"/>
                <w:b/>
              </w:rPr>
              <w:t xml:space="preserve"> w uzasadnieniu jak poniżej:</w:t>
            </w:r>
          </w:p>
          <w:p w14:paraId="1681AF97" w14:textId="44B14FD7" w:rsidR="0059404D"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260403">
              <w:rPr>
                <w:rFonts w:asciiTheme="minorHAnsi" w:eastAsiaTheme="minorHAnsi" w:hAnsiTheme="minorHAnsi" w:cstheme="minorHAnsi"/>
                <w:b/>
                <w:i/>
                <w:sz w:val="22"/>
                <w:szCs w:val="22"/>
                <w:lang w:eastAsia="en-US"/>
              </w:rPr>
              <w:t xml:space="preserve">Art. 68 w ust. 2. Kontrola pojazdów, przedmiotów wyposażenia lub części, o której mowa w ust. 1, przeprowadzana jest z wyłączeniem czynności określonych w art. 47–51, art. 54-59 </w:t>
            </w:r>
            <w:bookmarkStart w:id="32" w:name="_Hlk221804062"/>
            <w:r w:rsidRPr="00260403">
              <w:rPr>
                <w:rFonts w:asciiTheme="minorHAnsi" w:eastAsiaTheme="minorHAnsi" w:hAnsiTheme="minorHAnsi" w:cstheme="minorHAnsi"/>
                <w:b/>
                <w:i/>
                <w:sz w:val="22"/>
                <w:szCs w:val="22"/>
                <w:lang w:eastAsia="en-US"/>
              </w:rPr>
              <w:t>ustawy z dnia 6 marca 2018 r. – Prawo przedsiębiorców</w:t>
            </w:r>
            <w:bookmarkEnd w:id="32"/>
            <w:r w:rsidRPr="00260403">
              <w:rPr>
                <w:rFonts w:asciiTheme="minorHAnsi" w:eastAsiaTheme="minorHAnsi" w:hAnsiTheme="minorHAnsi" w:cstheme="minorHAnsi"/>
                <w:b/>
                <w:i/>
                <w:sz w:val="22"/>
                <w:szCs w:val="22"/>
                <w:lang w:eastAsia="en-US"/>
              </w:rPr>
              <w:t>.</w:t>
            </w:r>
            <w:bookmarkStart w:id="33" w:name="_Hlk134533957"/>
            <w:bookmarkStart w:id="34" w:name="_Hlk120527523"/>
            <w:bookmarkStart w:id="35" w:name="_Hlk125983605"/>
            <w:r>
              <w:rPr>
                <w:rFonts w:asciiTheme="minorHAnsi" w:eastAsiaTheme="minorHAnsi" w:hAnsiTheme="minorHAnsi" w:cstheme="minorHAnsi"/>
                <w:b/>
                <w:i/>
                <w:sz w:val="22"/>
                <w:szCs w:val="22"/>
                <w:lang w:eastAsia="en-US"/>
              </w:rPr>
              <w:t>”</w:t>
            </w:r>
          </w:p>
          <w:p w14:paraId="6150B7E8" w14:textId="77777777" w:rsidR="0059404D" w:rsidRPr="00260403" w:rsidRDefault="0059404D"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p>
          <w:bookmarkEnd w:id="33"/>
          <w:bookmarkEnd w:id="34"/>
          <w:bookmarkEnd w:id="35"/>
          <w:p w14:paraId="56E9BD5E" w14:textId="10ED76D9" w:rsidR="0059404D" w:rsidRPr="00CA208A"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CA208A">
              <w:rPr>
                <w:rFonts w:asciiTheme="minorHAnsi" w:eastAsiaTheme="minorHAnsi" w:hAnsiTheme="minorHAnsi" w:cstheme="minorHAnsi"/>
                <w:b/>
                <w:sz w:val="22"/>
                <w:szCs w:val="22"/>
                <w:lang w:eastAsia="en-US"/>
              </w:rPr>
              <w:t>Wyłączenie stosowania art. 47–5</w:t>
            </w:r>
            <w:r>
              <w:rPr>
                <w:rFonts w:asciiTheme="minorHAnsi" w:eastAsiaTheme="minorHAnsi" w:hAnsiTheme="minorHAnsi" w:cstheme="minorHAnsi"/>
                <w:b/>
                <w:sz w:val="22"/>
                <w:szCs w:val="22"/>
                <w:lang w:eastAsia="en-US"/>
              </w:rPr>
              <w:t>1 i art. 54-59</w:t>
            </w:r>
            <w:r w:rsidRPr="00CA208A">
              <w:rPr>
                <w:rFonts w:asciiTheme="minorHAnsi" w:eastAsiaTheme="minorHAnsi" w:hAnsiTheme="minorHAnsi" w:cstheme="minorHAnsi"/>
                <w:b/>
                <w:sz w:val="22"/>
                <w:szCs w:val="22"/>
                <w:lang w:eastAsia="en-US"/>
              </w:rPr>
              <w:t xml:space="preserve"> ustawy z dnia 6 marca 2018 r. – Prawo przedsiębiorców wynika z art. 45 ust. 1 tej ustawy, zgodnie z którym przepisy dotyczące zasad i trybu kontroli działalności gospodarczej nie mają zastosowania, jeżeli zasady te wynikają z bezpośrednio stosowanych przepisów prawa Unii Europejskiej.</w:t>
            </w:r>
          </w:p>
          <w:p w14:paraId="6012965D" w14:textId="77777777" w:rsidR="0059404D" w:rsidRPr="00CA208A"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CA208A">
              <w:rPr>
                <w:rFonts w:asciiTheme="minorHAnsi" w:eastAsiaTheme="minorHAnsi" w:hAnsiTheme="minorHAnsi" w:cstheme="minorHAnsi"/>
                <w:b/>
                <w:sz w:val="22"/>
                <w:szCs w:val="22"/>
                <w:lang w:eastAsia="en-US"/>
              </w:rPr>
              <w:t xml:space="preserve">Kontrole prowadzone przez Dyrektora </w:t>
            </w:r>
            <w:r>
              <w:rPr>
                <w:rFonts w:asciiTheme="minorHAnsi" w:eastAsiaTheme="minorHAnsi" w:hAnsiTheme="minorHAnsi" w:cstheme="minorHAnsi"/>
                <w:b/>
                <w:sz w:val="22"/>
                <w:szCs w:val="22"/>
                <w:lang w:eastAsia="en-US"/>
              </w:rPr>
              <w:t>TDT</w:t>
            </w:r>
            <w:r w:rsidRPr="00CA208A">
              <w:rPr>
                <w:rFonts w:asciiTheme="minorHAnsi" w:eastAsiaTheme="minorHAnsi" w:hAnsiTheme="minorHAnsi" w:cstheme="minorHAnsi"/>
                <w:b/>
                <w:sz w:val="22"/>
                <w:szCs w:val="22"/>
                <w:lang w:eastAsia="en-US"/>
              </w:rPr>
              <w:t xml:space="preserve"> w ramach nadzoru rynku stanowią realizację obowiązków państwa członkowskiego wynikających z rozporządzenia (UE) 2019/1020 oraz rozporządzeń sektorowych, w szczególności rozporządzenia (UE) 2018/858, rozporządzenia (UE) 167/2013 i rozporządzenia (UE) 168/2013. Rozporządzenia te ustanawiają autonomiczny model kontroli, obejmujący m.in. możliwość prowadzenia kontroli niezapowiedzianych, pobierania próbek, działań pod ukrytą tożsamością oraz natychmiastowego podejmowania środków w przypadku stwierdzenia poważnego ryzyka.</w:t>
            </w:r>
          </w:p>
          <w:p w14:paraId="441F581C" w14:textId="77777777" w:rsidR="0059404D"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CA208A">
              <w:rPr>
                <w:rFonts w:asciiTheme="minorHAnsi" w:eastAsiaTheme="minorHAnsi" w:hAnsiTheme="minorHAnsi" w:cstheme="minorHAnsi"/>
                <w:b/>
                <w:sz w:val="22"/>
                <w:szCs w:val="22"/>
                <w:lang w:eastAsia="en-US"/>
              </w:rPr>
              <w:t xml:space="preserve">Stosowanie krajowych ograniczeń dotyczących kontroli działalności gospodarczej, takich jak obowiązek uprzedniego zawiadomienia, limity czasu trwania kontroli, zakaz równoległych kontroli czy instytucja sprzeciwu, byłoby sprzeczne z prawem Unii Europejskiej i uniemożliwiałoby skuteczne wykonywanie obowiązków nadzorczych. </w:t>
            </w:r>
          </w:p>
          <w:p w14:paraId="0183FA59" w14:textId="77777777" w:rsidR="0059404D"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Dlatego w art. 68s ust. 1 pkt 4 zrezygnowano z wyłączenia przepisów ustawy z dnia 6 marca 2018 r. Prawo przedsiębiorców. zaproponowano, a zaproponowano w art. 68w wyłączenie zastosowania przepisów art. 47–51, art. 54-59 tej ustawy. </w:t>
            </w:r>
          </w:p>
          <w:p w14:paraId="3F27E972" w14:textId="77777777" w:rsidR="0059404D" w:rsidRDefault="0059404D" w:rsidP="0042202B">
            <w:pPr>
              <w:pStyle w:val="NormalnyWeb"/>
              <w:spacing w:before="0" w:beforeAutospacing="0" w:after="120" w:afterAutospacing="0"/>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Zastosowanie tych wyłączeń jest szczególnie istotne, aby umożliwić efektywne wykonywanie kontroli. </w:t>
            </w:r>
          </w:p>
          <w:p w14:paraId="79338E55" w14:textId="77777777" w:rsidR="0059404D" w:rsidRPr="00260403" w:rsidRDefault="0059404D" w:rsidP="0042202B">
            <w:pPr>
              <w:pStyle w:val="NormalnyWeb"/>
              <w:spacing w:before="0" w:beforeAutospacing="0" w:after="120" w:afterAutospacing="0"/>
              <w:rPr>
                <w:rFonts w:cstheme="minorHAnsi"/>
                <w:b/>
              </w:rPr>
            </w:pPr>
            <w:r w:rsidRPr="00260403">
              <w:rPr>
                <w:rFonts w:asciiTheme="minorHAnsi" w:eastAsiaTheme="minorHAnsi" w:hAnsiTheme="minorHAnsi" w:cstheme="minorHAnsi"/>
                <w:b/>
                <w:sz w:val="22"/>
                <w:szCs w:val="22"/>
                <w:lang w:eastAsia="en-US"/>
              </w:rPr>
              <w:t xml:space="preserve">Mając na uwadze doświadczenia innych organów, gdzie kontrolujący podnoszą, że kontrole po zawiadomieniu nie dają efektów i nie wykazują naruszeń, bo przedsiębiorca został uprzedzony o kontroli i się do niej przygotował, zdecydowano o wyłączeniu powyższych przepisów prawa przedsiębiorców. </w:t>
            </w:r>
          </w:p>
          <w:p w14:paraId="49E848F7" w14:textId="77777777" w:rsidR="0059404D" w:rsidRPr="00260403" w:rsidRDefault="0059404D" w:rsidP="0042202B">
            <w:pPr>
              <w:pStyle w:val="ZARTzmartartykuempunktem"/>
              <w:spacing w:line="240" w:lineRule="auto"/>
              <w:ind w:left="0" w:firstLine="0"/>
              <w:jc w:val="left"/>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W przypadku kontroli pojazdów, przedmiotów wyposażenia i części, które będzie wykonywał Dyrektor TDT ważne jest, by kontrolowany przygotowując się do kontroli nie usunął z asortymentu na czas kontroli tych produktów, które są niezgodne z warunkami technicznymi, tj. nie posiadają stosownych dokumentów homologacyjnych lub nie są zgodne z innymi wymogami technicznymi (czego przykładem mogą być hulajnogi elektryczne oraz inne urządzenia transportu osobistego) lub mogą stwarzać poważne ryzyko. </w:t>
            </w:r>
          </w:p>
          <w:p w14:paraId="6F440FC2" w14:textId="77777777" w:rsidR="0059404D" w:rsidRPr="00260403" w:rsidRDefault="0059404D" w:rsidP="0042202B">
            <w:pPr>
              <w:pStyle w:val="ZARTzmartartykuempunktem"/>
              <w:spacing w:line="240" w:lineRule="auto"/>
              <w:ind w:left="0" w:firstLine="0"/>
              <w:jc w:val="left"/>
              <w:rPr>
                <w:rFonts w:asciiTheme="minorHAnsi" w:eastAsiaTheme="minorHAnsi" w:hAnsiTheme="minorHAnsi" w:cstheme="minorHAnsi"/>
                <w:b/>
                <w:sz w:val="22"/>
                <w:szCs w:val="22"/>
                <w:lang w:eastAsia="en-US"/>
              </w:rPr>
            </w:pPr>
            <w:r w:rsidRPr="00260403">
              <w:rPr>
                <w:rFonts w:asciiTheme="minorHAnsi" w:eastAsiaTheme="minorHAnsi" w:hAnsiTheme="minorHAnsi" w:cstheme="minorHAnsi"/>
                <w:b/>
                <w:sz w:val="22"/>
                <w:szCs w:val="22"/>
                <w:lang w:eastAsia="en-US"/>
              </w:rPr>
              <w:t xml:space="preserve">Wartością nadrzędną jest bezpieczeństwo na drogach publicznych, a także ochrona życia i zdrowia użytkowników końcowych oraz ochrona środowiska. </w:t>
            </w:r>
          </w:p>
          <w:p w14:paraId="211D7220" w14:textId="77777777" w:rsidR="0059404D" w:rsidRPr="00260403" w:rsidRDefault="0059404D" w:rsidP="0042202B">
            <w:pPr>
              <w:pStyle w:val="ZARTzmartartykuempunktem"/>
              <w:spacing w:line="240" w:lineRule="auto"/>
              <w:ind w:left="0" w:firstLine="0"/>
              <w:jc w:val="left"/>
              <w:rPr>
                <w:rFonts w:asciiTheme="minorHAnsi" w:eastAsiaTheme="minorHAnsi" w:hAnsiTheme="minorHAnsi" w:cstheme="minorHAnsi"/>
                <w:b/>
                <w:i/>
                <w:sz w:val="22"/>
                <w:szCs w:val="22"/>
                <w:lang w:eastAsia="en-US"/>
              </w:rPr>
            </w:pPr>
            <w:r w:rsidRPr="00260403">
              <w:rPr>
                <w:rFonts w:asciiTheme="minorHAnsi" w:eastAsiaTheme="minorHAnsi" w:hAnsiTheme="minorHAnsi" w:cstheme="minorHAnsi"/>
                <w:b/>
                <w:sz w:val="22"/>
                <w:szCs w:val="22"/>
                <w:lang w:eastAsia="en-US"/>
              </w:rPr>
              <w:t xml:space="preserve">Przy projektowaniu przepisów, na podstawie których będzie działał Dyrektor TDT jako organ nadzoru rynku zwrócono szczególną uwagę by jego działania w zakresie kontroli nie były iluzoryczne, a także by nadzór rynku spełniał cele określone w art. 1 ust. 1 rozporządzenia 2019/1020 tj. </w:t>
            </w:r>
            <w:r w:rsidRPr="00260403">
              <w:rPr>
                <w:rFonts w:asciiTheme="minorHAnsi" w:eastAsiaTheme="minorHAnsi" w:hAnsiTheme="minorHAnsi" w:cstheme="minorHAnsi"/>
                <w:b/>
                <w:i/>
                <w:sz w:val="22"/>
                <w:szCs w:val="22"/>
                <w:lang w:eastAsia="en-US"/>
              </w:rPr>
              <w:t>„Celem niniejszego rozporządzenia jest poprawa funkcjonowania rynku wewnętrznego poprzez wzmocnienie nadzoru rynku produktów objętych unijnym prawodawstwem harmonizacyjnym, o których mowa w art. 2, w celu zapewnienia, aby na rynku unijnym udostępniane były wyłącznie produkty spełniające wymagania zapewniające wysoki poziom ochrony interesów publicznych, takich jak zdrowie i bezpieczeństwo w ujęciu ogólnym, zdrowie i bezpieczeństwo w miejscu pracy, ochrona konsumentów, ochrona środowiska oraz bezpieczeństwa publicznego i każdego innego interesu publicznego chronionego tym prawodawstwem.”</w:t>
            </w:r>
          </w:p>
          <w:p w14:paraId="01AFF7CA" w14:textId="77777777" w:rsidR="0059404D"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Wynikające z ww. ustawy – Prawo przedsiębiorców, przypadki prowadzenia kontroli bez zawiadomienia, w przypadku kontroli przestrzegania przepisów z zakresu rozporządzeń homologacyjnych, nie zawsze będą mogły być zastosowane, gdyż trudno jest wykazać, że zachodzi jeden z tych przypadków przed przeprowadzeniem kontroli (np. przesłanka zagrożenie życia lub zdrowia ludzi). Pojazd, przedmiot wyposażenia lub część może być niezgodna z wymaganiami technicznymi, co nie zawsze oznacza, że stwarza poważne ryzyko. W niektórych przypadkach pojazd, przedmiot wyposażenia i część może nie posiadać odpowiedniej dokumentacji, (a co za tym idzie nie powinien być dopuszczony do obrotu), ale nie stwarza poważnego ryzyka. </w:t>
            </w:r>
          </w:p>
          <w:p w14:paraId="56C1C2C5" w14:textId="77777777" w:rsidR="0059404D" w:rsidRPr="00260403"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Ustawodawca chce uniknąć sytuacji, gdy przedsiębiorca podczas kontroli Dyrektora TDT działającego jako organ nadzoru rynku wykaże jedynie pojazdy, przedmioty wyposażenia lub części, co do których nie ma wątpliwości, że spełniają wymagania techniczne i nie stwarzają poważnego ryzyka, natomiast po kontroli ponownie będzie mógł udostępniać te produkty co do których istnieją wątpliwości co do ich jakości, spełniania wymagań technicznych czy stwarzania poważnego ryzyka. </w:t>
            </w:r>
          </w:p>
          <w:p w14:paraId="6259D6DC" w14:textId="77777777" w:rsidR="0059404D" w:rsidRPr="00260403"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Projekt ustawy zakłada również wprowadzenie wyjątku od ogólnie obowiązującej zasady dotyczącej prowadzenia tylko jednej kontroli w tym samym czasie. Prowadzenie bowiem kontroli bez zawiadomienia nie odniesie w rzeczywistości oczekiwanego skutku, jeżeli Dyrektor TDT będzie musiał czekać na przeprowadzenie kontroli w przypadku gdy inny organ będzie prowadzić kontrolę na podstawie własnych przepisów. Dodatkowo Dyrektor TDT nie może być związany faktem wyczerpania limitu czasowego wykonywania kontroli u przedsiębiorcy przez inne organy. </w:t>
            </w:r>
          </w:p>
          <w:p w14:paraId="2B9497DB" w14:textId="77777777" w:rsidR="0059404D" w:rsidRDefault="0059404D" w:rsidP="0042202B">
            <w:pPr>
              <w:pStyle w:val="USTustnpkodeksu"/>
              <w:spacing w:line="240" w:lineRule="auto"/>
              <w:ind w:firstLine="0"/>
              <w:jc w:val="left"/>
              <w:rPr>
                <w:rFonts w:asciiTheme="minorHAnsi" w:hAnsiTheme="minorHAnsi" w:cstheme="minorHAnsi"/>
                <w:b/>
                <w:sz w:val="22"/>
                <w:szCs w:val="22"/>
                <w:lang w:eastAsia="en-US"/>
              </w:rPr>
            </w:pPr>
            <w:r w:rsidRPr="00260403">
              <w:rPr>
                <w:rFonts w:asciiTheme="minorHAnsi" w:hAnsiTheme="minorHAnsi" w:cstheme="minorHAnsi"/>
                <w:b/>
                <w:sz w:val="22"/>
                <w:szCs w:val="22"/>
                <w:lang w:eastAsia="en-US"/>
              </w:rPr>
              <w:t xml:space="preserve">W takich przypadkach zastosowanie art. 54, 55 i 58 ustawy – Prawo przedsiębiorców uniemożliwi przeprowadzenie kontroli u przedsiębiorcy. </w:t>
            </w:r>
          </w:p>
          <w:p w14:paraId="7E926F8A" w14:textId="77777777" w:rsidR="0059404D" w:rsidRPr="00260403" w:rsidRDefault="0059404D" w:rsidP="0042202B">
            <w:pPr>
              <w:pStyle w:val="USTustnpkodeksu"/>
              <w:spacing w:line="240" w:lineRule="auto"/>
              <w:ind w:firstLine="0"/>
              <w:jc w:val="left"/>
              <w:rPr>
                <w:rFonts w:asciiTheme="minorHAnsi" w:hAnsiTheme="minorHAnsi" w:cstheme="minorHAnsi"/>
                <w:b/>
                <w:sz w:val="22"/>
                <w:szCs w:val="22"/>
                <w:lang w:eastAsia="en-US"/>
              </w:rPr>
            </w:pPr>
          </w:p>
          <w:p w14:paraId="52CE102C"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Ustawa z dnia 6 marca 2018 r. – Prawo przedsiębiorców a projekt UC95</w:t>
            </w:r>
            <w:r>
              <w:rPr>
                <w:rFonts w:cstheme="minorHAnsi"/>
                <w:b/>
                <w:kern w:val="0"/>
                <w:sz w:val="22"/>
                <w:szCs w:val="22"/>
                <w14:ligatures w14:val="none"/>
              </w:rPr>
              <w:t>:</w:t>
            </w:r>
          </w:p>
          <w:p w14:paraId="464F3862"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47, który dotyczy analizy prawdopodobieństwa naruszenia prawa, jego odpowiednik w UC95 zawarty został w art. 68s ust. 6 oraz art. 68w ust. 1 pkt. 1 – 3.</w:t>
            </w:r>
          </w:p>
          <w:p w14:paraId="6832DD9E"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48, który dotyczy zawiadomienia o zamiarze wszczęcia kontroli oraz uprzednich czynności kontrolnych, jego odpowiednik w UC95 znajduje się w art. 68x ust. 3 oraz art. 68v i art. 68ze.</w:t>
            </w:r>
          </w:p>
          <w:p w14:paraId="026CE453"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49, który dotyczy upoważnienia do przeprowadzenia kontroli, jego odpowiednik w UC95 znajduje się w art. 68x ust. 3 i 4.</w:t>
            </w:r>
          </w:p>
          <w:p w14:paraId="267FE32D"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50, który dotyczy obecności przedsiębiorcy lub jego przedstawiciela podczas wykonywania czynności kontrolnych, jego odpowiednik w UC95 znajduje się w art. 68y ust. 3</w:t>
            </w:r>
          </w:p>
          <w:p w14:paraId="133AF079"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51, który dotyczy miejsca przeprowadzenia kontroli oraz kontrola zdalna, jego odpowiednik w UC95 znajduje się w art. 68y. Przepisy nie przewidują przeprowadzania kontroli zdalnej z uwagi na fakt tej nie dopuszczalności wynikający z art. 11 ust. 3 rozporządzenia 2019/1020, w którym wskazano formy kontroli.</w:t>
            </w:r>
          </w:p>
          <w:p w14:paraId="57280223"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54, który dotyczy prowadzenia więcej niż jednej kontroli, jego odpowiednik w UC95 znajduje się w art. 68x.</w:t>
            </w:r>
          </w:p>
          <w:p w14:paraId="34E6CAB0"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55, który dotyczy czasu trwania kontroli, jego odpowiednik w UC95 znajduje się w art. 68x ust. 4 pkt. 7.</w:t>
            </w:r>
          </w:p>
          <w:p w14:paraId="14FA90D7"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55a, który dotyczy ograniczenia kontroli planowych, wynika wprost z art. 11 ust. 3 rozporządzenia 2019/1020, a w projekcie został doregulowany w art. 68x oraz art. 68zj. Proponowane przepisy dotyczące kontroli pod ukrytą tożsamością wynikają z motywu 40 oraz obowiązującego wprost art. 14 ust. 4 lit. j rozporządzenia UE 2019/1020, a jego odpowiednik w UC95 znajduje się w art. 68zi.</w:t>
            </w:r>
          </w:p>
          <w:p w14:paraId="6B9345D8"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 xml:space="preserve">Art. 56, który dotyczy przerwania kontroli, jego odpowiednik w UC95 znajduje się w art. 68zc. </w:t>
            </w:r>
          </w:p>
          <w:p w14:paraId="0BEB6316"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57, który dotyczy książki kontroli przedsiębiorcy – przepis ten nie znajduje zastosowania w odniesieniu do UC95, ponieważ prowadzona kontrola odnosi się do gotowych już produktów oferowanych do sprzedaży.</w:t>
            </w:r>
          </w:p>
          <w:p w14:paraId="604500F5" w14:textId="77777777"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58, którego funkcją jest wyłączenie możliwości przeprowadzenia ponownej kontroli przez ten sam organ – przepis ten nie znajduje zastosowania w odniesieniu do UC95, ponieważ prowadzona kontrola odnosi się do gotowych już produktów oferowanych do sprzedaży.</w:t>
            </w:r>
          </w:p>
          <w:p w14:paraId="31DD4145" w14:textId="5FFA91C9" w:rsidR="0059404D" w:rsidRPr="00260403" w:rsidRDefault="0059404D" w:rsidP="0042202B">
            <w:pPr>
              <w:pStyle w:val="Akapitzlist"/>
              <w:spacing w:after="120" w:line="240" w:lineRule="auto"/>
              <w:ind w:left="0"/>
              <w:contextualSpacing w:val="0"/>
              <w:rPr>
                <w:rFonts w:cstheme="minorHAnsi"/>
                <w:b/>
                <w:kern w:val="0"/>
                <w:sz w:val="22"/>
                <w:szCs w:val="22"/>
                <w14:ligatures w14:val="none"/>
              </w:rPr>
            </w:pPr>
            <w:r w:rsidRPr="00260403">
              <w:rPr>
                <w:rFonts w:cstheme="minorHAnsi"/>
                <w:b/>
                <w:kern w:val="0"/>
                <w:sz w:val="22"/>
                <w:szCs w:val="22"/>
                <w14:ligatures w14:val="none"/>
              </w:rPr>
              <w:t>Art. 59, którego funkcją jest sprzeciw od czynności kontrolnych przedsiębiorcy oraz skarga na przewlekłe prowadzenie kontroli działalności gospodarczej - przepis ten nie znajduje zastosowania w odniesieniu do UC95, ponieważ prowadzona kontrola odnosi się do gotowych już produktów oferowanych do sprzedaży, które mogą być niezgodne z wymaganiami przepisów harmonizacyjnych oraz stwarzać ryzyko dla bezpieczeństwa użytkowników końcowych.</w:t>
            </w:r>
          </w:p>
        </w:tc>
        <w:tc>
          <w:tcPr>
            <w:tcW w:w="3686" w:type="dxa"/>
          </w:tcPr>
          <w:p w14:paraId="0D99DDAB" w14:textId="427C2AAD" w:rsidR="0082100E" w:rsidRPr="00FA0702" w:rsidRDefault="00A15299" w:rsidP="0042202B">
            <w:pPr>
              <w:rPr>
                <w:rFonts w:cstheme="minorHAnsi"/>
                <w:b/>
                <w:color w:val="0070C0"/>
              </w:rPr>
            </w:pPr>
            <w:r w:rsidRPr="00FA0702">
              <w:rPr>
                <w:rFonts w:cstheme="minorHAnsi"/>
                <w:b/>
                <w:color w:val="0070C0"/>
              </w:rPr>
              <w:t xml:space="preserve">Temat do dalszego omówienia na spotkaniu roboczym z MRiT. </w:t>
            </w:r>
          </w:p>
          <w:p w14:paraId="307DF9ED" w14:textId="6BE9D316" w:rsidR="00E45EF4" w:rsidRPr="00FA0702" w:rsidRDefault="00E45EF4" w:rsidP="0042202B">
            <w:pPr>
              <w:rPr>
                <w:rFonts w:cstheme="minorHAnsi"/>
                <w:b/>
                <w:color w:val="0070C0"/>
              </w:rPr>
            </w:pPr>
          </w:p>
          <w:p w14:paraId="68BFE75F" w14:textId="77777777" w:rsidR="00E45EF4" w:rsidRPr="00FA0702" w:rsidRDefault="00E45EF4" w:rsidP="0042202B">
            <w:pPr>
              <w:rPr>
                <w:rFonts w:cstheme="minorHAnsi"/>
                <w:b/>
                <w:color w:val="0070C0"/>
              </w:rPr>
            </w:pPr>
            <w:r w:rsidRPr="00FA0702">
              <w:rPr>
                <w:rFonts w:cstheme="minorHAnsi"/>
                <w:b/>
                <w:color w:val="0070C0"/>
              </w:rPr>
              <w:t>Zakres wyłączeń za szeroki – zostaje tylko art. 52 i 53</w:t>
            </w:r>
          </w:p>
          <w:p w14:paraId="251C07A6" w14:textId="77777777" w:rsidR="00E45EF4" w:rsidRPr="00FA0702" w:rsidRDefault="00E45EF4" w:rsidP="0042202B">
            <w:pPr>
              <w:rPr>
                <w:rFonts w:cstheme="minorHAnsi"/>
                <w:b/>
                <w:color w:val="0070C0"/>
              </w:rPr>
            </w:pPr>
          </w:p>
          <w:p w14:paraId="3F5E2081" w14:textId="6E99512F" w:rsidR="00E45EF4" w:rsidRPr="00FA0702" w:rsidRDefault="00E45EF4" w:rsidP="0042202B">
            <w:pPr>
              <w:rPr>
                <w:rFonts w:cstheme="minorHAnsi"/>
                <w:b/>
                <w:color w:val="0070C0"/>
              </w:rPr>
            </w:pPr>
            <w:r w:rsidRPr="00FA0702">
              <w:rPr>
                <w:rFonts w:cstheme="minorHAnsi"/>
                <w:b/>
                <w:color w:val="0070C0"/>
              </w:rPr>
              <w:t xml:space="preserve">Zgoda MRiT - art. 48 PP </w:t>
            </w:r>
            <w:r w:rsidR="001A5889" w:rsidRPr="00FA0702">
              <w:rPr>
                <w:rFonts w:cstheme="minorHAnsi"/>
                <w:b/>
                <w:color w:val="0070C0"/>
              </w:rPr>
              <w:t>-</w:t>
            </w:r>
            <w:r w:rsidRPr="00FA0702">
              <w:rPr>
                <w:rFonts w:cstheme="minorHAnsi"/>
                <w:b/>
                <w:color w:val="0070C0"/>
              </w:rPr>
              <w:t xml:space="preserve">niezapowiedziane </w:t>
            </w:r>
            <w:r w:rsidR="001A5889" w:rsidRPr="00FA0702">
              <w:rPr>
                <w:rFonts w:cstheme="minorHAnsi"/>
                <w:b/>
                <w:color w:val="0070C0"/>
              </w:rPr>
              <w:t>kontrole</w:t>
            </w:r>
          </w:p>
          <w:p w14:paraId="1911CD5B" w14:textId="77777777" w:rsidR="00E45EF4" w:rsidRPr="00FA0702" w:rsidRDefault="00E45EF4" w:rsidP="0042202B">
            <w:pPr>
              <w:rPr>
                <w:rFonts w:cstheme="minorHAnsi"/>
                <w:b/>
                <w:color w:val="0070C0"/>
              </w:rPr>
            </w:pPr>
          </w:p>
          <w:p w14:paraId="5AFFE364" w14:textId="77777777" w:rsidR="00E45EF4" w:rsidRPr="00FA0702" w:rsidRDefault="00E45EF4" w:rsidP="0042202B">
            <w:pPr>
              <w:rPr>
                <w:rFonts w:cstheme="minorHAnsi"/>
                <w:b/>
                <w:color w:val="0070C0"/>
              </w:rPr>
            </w:pPr>
            <w:r w:rsidRPr="00FA0702">
              <w:rPr>
                <w:rFonts w:cstheme="minorHAnsi"/>
                <w:b/>
                <w:color w:val="0070C0"/>
              </w:rPr>
              <w:t xml:space="preserve">Pod ukryta tożsamością – zgoda – jakość handlowa produktów rolniczych – sprzedaż na odległość – do uwzględnienia </w:t>
            </w:r>
          </w:p>
          <w:p w14:paraId="25C34A2C" w14:textId="77777777" w:rsidR="00E45EF4" w:rsidRPr="00FA0702" w:rsidRDefault="00E45EF4" w:rsidP="0042202B">
            <w:pPr>
              <w:rPr>
                <w:rFonts w:cstheme="minorHAnsi"/>
                <w:b/>
                <w:color w:val="0070C0"/>
              </w:rPr>
            </w:pPr>
          </w:p>
          <w:p w14:paraId="50014177" w14:textId="77777777" w:rsidR="00E45EF4" w:rsidRPr="00FA0702" w:rsidRDefault="00E45EF4" w:rsidP="0042202B">
            <w:pPr>
              <w:rPr>
                <w:rFonts w:cstheme="minorHAnsi"/>
                <w:b/>
                <w:color w:val="0070C0"/>
              </w:rPr>
            </w:pPr>
            <w:r w:rsidRPr="00FA0702">
              <w:rPr>
                <w:rFonts w:cstheme="minorHAnsi"/>
                <w:b/>
                <w:color w:val="0070C0"/>
              </w:rPr>
              <w:t xml:space="preserve">Zakup na odległość – szczególny rodzaj kontroli – do ustalenia z MRiT - jakich zasad się nie stosuje. </w:t>
            </w:r>
          </w:p>
          <w:p w14:paraId="5B395702" w14:textId="77777777" w:rsidR="00E45EF4" w:rsidRPr="00FA0702" w:rsidRDefault="00E45EF4" w:rsidP="0042202B">
            <w:pPr>
              <w:rPr>
                <w:rFonts w:cstheme="minorHAnsi"/>
                <w:b/>
                <w:color w:val="0070C0"/>
              </w:rPr>
            </w:pPr>
          </w:p>
          <w:p w14:paraId="41CBCD54" w14:textId="0ACC58CF" w:rsidR="00E45EF4" w:rsidRPr="00FA0702" w:rsidRDefault="00E45EF4" w:rsidP="0042202B">
            <w:pPr>
              <w:rPr>
                <w:rFonts w:cstheme="minorHAnsi"/>
                <w:b/>
                <w:color w:val="0070C0"/>
              </w:rPr>
            </w:pPr>
            <w:r w:rsidRPr="00FA0702">
              <w:rPr>
                <w:rFonts w:cstheme="minorHAnsi"/>
                <w:b/>
                <w:color w:val="0070C0"/>
              </w:rPr>
              <w:t>Kontrola pojazdu i części – ty</w:t>
            </w:r>
            <w:r w:rsidR="001A5889" w:rsidRPr="00FA0702">
              <w:rPr>
                <w:rFonts w:cstheme="minorHAnsi"/>
                <w:b/>
                <w:color w:val="0070C0"/>
              </w:rPr>
              <w:t>l</w:t>
            </w:r>
            <w:r w:rsidRPr="00FA0702">
              <w:rPr>
                <w:rFonts w:cstheme="minorHAnsi"/>
                <w:b/>
                <w:color w:val="0070C0"/>
              </w:rPr>
              <w:t xml:space="preserve">ko akceptacja wyłączenia art. 48. </w:t>
            </w:r>
          </w:p>
          <w:p w14:paraId="4290F50B" w14:textId="77777777" w:rsidR="00E45EF4" w:rsidRPr="00FA0702" w:rsidRDefault="00E45EF4" w:rsidP="0042202B">
            <w:pPr>
              <w:rPr>
                <w:rFonts w:cstheme="minorHAnsi"/>
                <w:b/>
                <w:color w:val="0070C0"/>
              </w:rPr>
            </w:pPr>
          </w:p>
          <w:p w14:paraId="4E15858E" w14:textId="77777777" w:rsidR="00E45EF4" w:rsidRPr="00FA0702" w:rsidRDefault="00E45EF4" w:rsidP="0042202B">
            <w:pPr>
              <w:rPr>
                <w:rFonts w:cstheme="minorHAnsi"/>
                <w:b/>
                <w:color w:val="0070C0"/>
              </w:rPr>
            </w:pPr>
            <w:r w:rsidRPr="00FA0702">
              <w:rPr>
                <w:rFonts w:cstheme="minorHAnsi"/>
                <w:b/>
                <w:color w:val="0070C0"/>
              </w:rPr>
              <w:t xml:space="preserve">Art. 49 PP – upoważnienie i legitymacje – w UC95 jest to samo. </w:t>
            </w:r>
          </w:p>
          <w:p w14:paraId="2AB17B45" w14:textId="66542B91" w:rsidR="00E45EF4" w:rsidRPr="00FA0702" w:rsidRDefault="00E45EF4" w:rsidP="0042202B">
            <w:pPr>
              <w:rPr>
                <w:rFonts w:cstheme="minorHAnsi"/>
                <w:b/>
                <w:color w:val="0070C0"/>
              </w:rPr>
            </w:pPr>
            <w:r w:rsidRPr="00FA0702">
              <w:rPr>
                <w:rFonts w:cstheme="minorHAnsi"/>
                <w:b/>
                <w:color w:val="0070C0"/>
              </w:rPr>
              <w:t xml:space="preserve">Art. 57 książka kontroli – można ewentualnie zastosować do zakupu pod ukrytą tożsamością. </w:t>
            </w:r>
          </w:p>
          <w:p w14:paraId="46184A5E" w14:textId="77777777" w:rsidR="00431D1C" w:rsidRPr="00FA0702" w:rsidRDefault="00431D1C" w:rsidP="0042202B">
            <w:pPr>
              <w:rPr>
                <w:rFonts w:cstheme="minorHAnsi"/>
                <w:b/>
                <w:color w:val="0070C0"/>
              </w:rPr>
            </w:pPr>
          </w:p>
          <w:p w14:paraId="59077BF3" w14:textId="0A1FE7B0" w:rsidR="0075395B" w:rsidRDefault="0075395B" w:rsidP="0042202B">
            <w:pPr>
              <w:rPr>
                <w:rFonts w:cstheme="minorHAnsi"/>
                <w:b/>
                <w:color w:val="0070C0"/>
              </w:rPr>
            </w:pPr>
            <w:r w:rsidRPr="000C69F1">
              <w:rPr>
                <w:rFonts w:cstheme="minorHAnsi"/>
                <w:b/>
                <w:color w:val="0070C0"/>
              </w:rPr>
              <w:t xml:space="preserve">W wyniku </w:t>
            </w:r>
            <w:r w:rsidR="00592FF0">
              <w:rPr>
                <w:rFonts w:cstheme="minorHAnsi"/>
                <w:b/>
                <w:color w:val="0070C0"/>
              </w:rPr>
              <w:t>wyjaśnień na konferencji</w:t>
            </w:r>
            <w:r w:rsidRPr="000C69F1">
              <w:rPr>
                <w:rFonts w:cstheme="minorHAnsi"/>
                <w:b/>
                <w:color w:val="0070C0"/>
              </w:rPr>
              <w:t xml:space="preserve"> oraz spotkania roboczego z MRiT wprowadzono zmiany w rozdziale 4b Nadzór rynku – zgodnie z ustaleniami z tego spotkania</w:t>
            </w:r>
            <w:r w:rsidR="001A4F42">
              <w:rPr>
                <w:rFonts w:cstheme="minorHAnsi"/>
                <w:b/>
                <w:color w:val="0070C0"/>
              </w:rPr>
              <w:t xml:space="preserve">, w </w:t>
            </w:r>
            <w:r w:rsidR="00592FF0">
              <w:rPr>
                <w:rFonts w:cstheme="minorHAnsi"/>
                <w:b/>
                <w:color w:val="0070C0"/>
              </w:rPr>
              <w:t>tym</w:t>
            </w:r>
            <w:r w:rsidR="001A4F42">
              <w:rPr>
                <w:rFonts w:cstheme="minorHAnsi"/>
                <w:b/>
                <w:color w:val="0070C0"/>
              </w:rPr>
              <w:t xml:space="preserve"> wykreślono przepis o wyłączeniu do zakupu kontrolnego </w:t>
            </w:r>
            <w:r w:rsidR="00592FF0">
              <w:rPr>
                <w:rFonts w:cstheme="minorHAnsi"/>
                <w:b/>
                <w:color w:val="0070C0"/>
              </w:rPr>
              <w:t xml:space="preserve">pod ukrytą tożsamością </w:t>
            </w:r>
            <w:r w:rsidR="001A4F42">
              <w:rPr>
                <w:rFonts w:cstheme="minorHAnsi"/>
                <w:b/>
                <w:color w:val="0070C0"/>
              </w:rPr>
              <w:t xml:space="preserve">Prawa zamówień publicznych oraz zrezygnowano z </w:t>
            </w:r>
            <w:r w:rsidR="00592FF0">
              <w:rPr>
                <w:rFonts w:cstheme="minorHAnsi"/>
                <w:b/>
                <w:color w:val="0070C0"/>
              </w:rPr>
              <w:t xml:space="preserve">wyłączenia przepisów Prawo przedsiębiorców, z wyjątkiem art. 48. </w:t>
            </w:r>
          </w:p>
          <w:p w14:paraId="223D9C2B" w14:textId="309CEB06" w:rsidR="00431D1C" w:rsidRDefault="00431D1C" w:rsidP="0042202B">
            <w:pPr>
              <w:rPr>
                <w:rFonts w:cstheme="minorHAnsi"/>
                <w:b/>
                <w:color w:val="0070C0"/>
              </w:rPr>
            </w:pPr>
          </w:p>
          <w:p w14:paraId="45583F3F" w14:textId="58136753" w:rsidR="00431D1C" w:rsidRPr="000E76C9" w:rsidRDefault="00431D1C" w:rsidP="0042202B">
            <w:pPr>
              <w:rPr>
                <w:rFonts w:cstheme="minorHAnsi"/>
                <w:b/>
                <w:color w:val="0070C0"/>
                <w:u w:val="single"/>
              </w:rPr>
            </w:pPr>
            <w:r w:rsidRPr="000E76C9">
              <w:rPr>
                <w:rFonts w:cstheme="minorHAnsi"/>
                <w:b/>
                <w:color w:val="0070C0"/>
                <w:u w:val="single"/>
              </w:rPr>
              <w:t xml:space="preserve">Akceptacja przez MRiT w trybie roboczym zmian w projekcie UC95 w zakresie rozdziału 4b Nadzór rynku zgodnie z powyższymi ustaleniami </w:t>
            </w:r>
            <w:r w:rsidR="00FA0702" w:rsidRPr="000E76C9">
              <w:rPr>
                <w:rFonts w:cstheme="minorHAnsi"/>
                <w:b/>
                <w:color w:val="0070C0"/>
                <w:u w:val="single"/>
              </w:rPr>
              <w:t>+ dodanie zmiany w art. 68y:</w:t>
            </w:r>
          </w:p>
          <w:p w14:paraId="38BA112B" w14:textId="55317D1B" w:rsidR="00FA0702" w:rsidRPr="000E76C9" w:rsidRDefault="00FA0702" w:rsidP="0042202B">
            <w:pPr>
              <w:rPr>
                <w:rFonts w:cstheme="minorHAnsi"/>
                <w:b/>
                <w:color w:val="0070C0"/>
                <w:u w:val="single"/>
              </w:rPr>
            </w:pPr>
          </w:p>
          <w:p w14:paraId="22B2E4BF" w14:textId="251193D2" w:rsidR="00FA0702" w:rsidRPr="000E76C9" w:rsidRDefault="00FA0702" w:rsidP="00FA0702">
            <w:pPr>
              <w:pStyle w:val="ZARTzmartartykuempunktem"/>
              <w:spacing w:line="240" w:lineRule="auto"/>
              <w:ind w:left="0" w:firstLine="0"/>
              <w:jc w:val="left"/>
              <w:rPr>
                <w:rFonts w:asciiTheme="minorHAnsi" w:eastAsiaTheme="minorHAnsi" w:hAnsiTheme="minorHAnsi" w:cstheme="minorHAnsi"/>
                <w:b/>
                <w:i/>
                <w:color w:val="0070C0"/>
                <w:sz w:val="22"/>
                <w:szCs w:val="22"/>
                <w:u w:val="single"/>
                <w:lang w:eastAsia="en-US"/>
              </w:rPr>
            </w:pPr>
            <w:r w:rsidRPr="000E76C9">
              <w:rPr>
                <w:rFonts w:asciiTheme="minorHAnsi" w:eastAsiaTheme="minorHAnsi" w:hAnsiTheme="minorHAnsi" w:cstheme="minorHAnsi"/>
                <w:b/>
                <w:i/>
                <w:color w:val="0070C0"/>
                <w:sz w:val="22"/>
                <w:szCs w:val="22"/>
                <w:u w:val="single"/>
                <w:lang w:eastAsia="en-US"/>
              </w:rPr>
              <w:t>„3. Do kontroli pojazdów, przedmiotów wyposażenia lub części, o której mowa w ust. 1, w zakresie nieuregulowanym w niniejszej ustawie stosuje się przepisy rozdziału 5 ustawy z dnia 6 marca 2018 r. – Prawo przedsiębiorców, z tym że do kontroli niezapowiedzianej nie stosuje się art. 48 tej ustawy.”</w:t>
            </w:r>
          </w:p>
          <w:p w14:paraId="66995085" w14:textId="77777777" w:rsidR="00FA0702" w:rsidRPr="000C69F1" w:rsidRDefault="00FA0702" w:rsidP="0042202B">
            <w:pPr>
              <w:rPr>
                <w:rFonts w:cstheme="minorHAnsi"/>
                <w:b/>
                <w:color w:val="0070C0"/>
              </w:rPr>
            </w:pPr>
          </w:p>
          <w:p w14:paraId="75D2C202" w14:textId="77777777" w:rsidR="00E45EF4" w:rsidRPr="00FA0702" w:rsidRDefault="00E45EF4" w:rsidP="0042202B">
            <w:pPr>
              <w:rPr>
                <w:rFonts w:cstheme="minorHAnsi"/>
                <w:b/>
                <w:color w:val="0070C0"/>
              </w:rPr>
            </w:pPr>
          </w:p>
          <w:p w14:paraId="0453D29B" w14:textId="77777777" w:rsidR="00E45EF4" w:rsidRPr="00FA0702" w:rsidRDefault="00E45EF4" w:rsidP="0042202B">
            <w:pPr>
              <w:rPr>
                <w:rFonts w:cstheme="minorHAnsi"/>
                <w:b/>
                <w:color w:val="0070C0"/>
              </w:rPr>
            </w:pPr>
          </w:p>
          <w:p w14:paraId="077C553F" w14:textId="47DF02D1" w:rsidR="0082100E" w:rsidRPr="00FA0702" w:rsidRDefault="0082100E" w:rsidP="0042202B">
            <w:pPr>
              <w:rPr>
                <w:rFonts w:cstheme="minorHAnsi"/>
                <w:b/>
                <w:color w:val="0070C0"/>
              </w:rPr>
            </w:pPr>
          </w:p>
          <w:p w14:paraId="517BD6DA" w14:textId="77777777" w:rsidR="0082100E" w:rsidRPr="00FA0702" w:rsidRDefault="0082100E" w:rsidP="0042202B">
            <w:pPr>
              <w:rPr>
                <w:rFonts w:cstheme="minorHAnsi"/>
                <w:b/>
                <w:color w:val="0070C0"/>
              </w:rPr>
            </w:pPr>
          </w:p>
          <w:p w14:paraId="32434D3B" w14:textId="77777777" w:rsidR="0082100E" w:rsidRPr="00FA0702" w:rsidRDefault="0082100E" w:rsidP="0042202B">
            <w:pPr>
              <w:rPr>
                <w:rFonts w:cstheme="minorHAnsi"/>
                <w:b/>
                <w:color w:val="0070C0"/>
              </w:rPr>
            </w:pPr>
          </w:p>
          <w:p w14:paraId="556C7FB7" w14:textId="3E6C772F" w:rsidR="005A144E" w:rsidRPr="00FA0702" w:rsidRDefault="005A144E" w:rsidP="0042202B">
            <w:pPr>
              <w:rPr>
                <w:rFonts w:cstheme="minorHAnsi"/>
                <w:b/>
                <w:color w:val="0070C0"/>
              </w:rPr>
            </w:pPr>
          </w:p>
          <w:p w14:paraId="62250889" w14:textId="77777777" w:rsidR="005A144E" w:rsidRPr="00FA0702" w:rsidRDefault="005A144E" w:rsidP="0042202B">
            <w:pPr>
              <w:rPr>
                <w:rFonts w:cstheme="minorHAnsi"/>
                <w:b/>
                <w:color w:val="0070C0"/>
              </w:rPr>
            </w:pPr>
          </w:p>
          <w:p w14:paraId="6EE5DA5D" w14:textId="77777777" w:rsidR="005A144E" w:rsidRPr="00FA0702" w:rsidRDefault="005A144E" w:rsidP="0042202B">
            <w:pPr>
              <w:rPr>
                <w:rFonts w:cstheme="minorHAnsi"/>
                <w:b/>
                <w:color w:val="0070C0"/>
              </w:rPr>
            </w:pPr>
          </w:p>
          <w:p w14:paraId="0B2FF2B6" w14:textId="28480B4A" w:rsidR="005A144E" w:rsidRPr="00FA0702" w:rsidRDefault="005A144E" w:rsidP="0042202B">
            <w:pPr>
              <w:rPr>
                <w:rFonts w:cstheme="minorHAnsi"/>
                <w:b/>
                <w:color w:val="0070C0"/>
              </w:rPr>
            </w:pPr>
          </w:p>
        </w:tc>
      </w:tr>
      <w:tr w:rsidR="0059404D" w:rsidRPr="00F515D6" w14:paraId="384220D3" w14:textId="497EF341" w:rsidTr="00D76FE7">
        <w:tc>
          <w:tcPr>
            <w:tcW w:w="562" w:type="dxa"/>
          </w:tcPr>
          <w:p w14:paraId="61547BC1" w14:textId="77777777" w:rsidR="0059404D" w:rsidRPr="00FC38C7" w:rsidRDefault="0059404D" w:rsidP="0042202B">
            <w:pPr>
              <w:rPr>
                <w:rFonts w:cstheme="minorHAnsi"/>
                <w:b/>
              </w:rPr>
            </w:pPr>
            <w:r w:rsidRPr="00FC38C7">
              <w:rPr>
                <w:rFonts w:cstheme="minorHAnsi"/>
                <w:b/>
              </w:rPr>
              <w:t>35</w:t>
            </w:r>
          </w:p>
        </w:tc>
        <w:tc>
          <w:tcPr>
            <w:tcW w:w="993" w:type="dxa"/>
          </w:tcPr>
          <w:p w14:paraId="615EC461" w14:textId="77777777" w:rsidR="0059404D" w:rsidRDefault="0059404D" w:rsidP="0042202B">
            <w:pPr>
              <w:rPr>
                <w:rFonts w:cstheme="minorHAnsi"/>
                <w:b/>
              </w:rPr>
            </w:pPr>
            <w:r w:rsidRPr="00FC38C7">
              <w:rPr>
                <w:rFonts w:cstheme="minorHAnsi"/>
                <w:b/>
              </w:rPr>
              <w:t>MFiG (MRiT)</w:t>
            </w:r>
          </w:p>
          <w:p w14:paraId="10D373D7" w14:textId="77777777" w:rsidR="0059404D" w:rsidRDefault="0059404D" w:rsidP="0042202B">
            <w:pPr>
              <w:rPr>
                <w:rFonts w:cstheme="minorHAnsi"/>
                <w:b/>
                <w:color w:val="00B050"/>
              </w:rPr>
            </w:pPr>
          </w:p>
          <w:p w14:paraId="464B1865" w14:textId="1CE7D214" w:rsidR="0059404D" w:rsidRDefault="0059404D" w:rsidP="0042202B">
            <w:pPr>
              <w:rPr>
                <w:rFonts w:cstheme="minorHAnsi"/>
                <w:b/>
                <w:color w:val="00B050"/>
              </w:rPr>
            </w:pPr>
            <w:r>
              <w:rPr>
                <w:rFonts w:cstheme="minorHAnsi"/>
                <w:b/>
                <w:color w:val="00B050"/>
              </w:rPr>
              <w:t>+ uwaga 13 RCL (art. 68s ust. 1 pkt 4)</w:t>
            </w:r>
          </w:p>
          <w:p w14:paraId="4DBAEFA3" w14:textId="77777777" w:rsidR="0059404D" w:rsidRDefault="0059404D" w:rsidP="0042202B">
            <w:pPr>
              <w:rPr>
                <w:rFonts w:cstheme="minorHAnsi"/>
                <w:b/>
                <w:color w:val="00B050"/>
              </w:rPr>
            </w:pPr>
          </w:p>
          <w:p w14:paraId="0BA0A41E" w14:textId="1B0FC025" w:rsidR="0059404D" w:rsidRDefault="0059404D" w:rsidP="0042202B">
            <w:pPr>
              <w:rPr>
                <w:rFonts w:cstheme="minorHAnsi"/>
                <w:b/>
                <w:color w:val="00B050"/>
              </w:rPr>
            </w:pPr>
            <w:r>
              <w:rPr>
                <w:rFonts w:cstheme="minorHAnsi"/>
                <w:b/>
                <w:color w:val="00B050"/>
              </w:rPr>
              <w:t>+uwaga 34 MFiG (art. 68s ust. 1 pkt 4)</w:t>
            </w:r>
          </w:p>
          <w:p w14:paraId="39B25246" w14:textId="77777777" w:rsidR="0059404D" w:rsidRDefault="0059404D" w:rsidP="0042202B">
            <w:pPr>
              <w:rPr>
                <w:rFonts w:cstheme="minorHAnsi"/>
                <w:b/>
                <w:color w:val="00B050"/>
              </w:rPr>
            </w:pPr>
          </w:p>
          <w:p w14:paraId="090B143C" w14:textId="77777777" w:rsidR="0059404D" w:rsidRDefault="0059404D" w:rsidP="0042202B">
            <w:pPr>
              <w:rPr>
                <w:rFonts w:cstheme="minorHAnsi"/>
                <w:b/>
                <w:color w:val="00B050"/>
              </w:rPr>
            </w:pPr>
            <w:r>
              <w:rPr>
                <w:rFonts w:cstheme="minorHAnsi"/>
                <w:b/>
                <w:color w:val="00B050"/>
              </w:rPr>
              <w:t>+uwaga 59 MC (art. 68s ust. 1 pkt 16)</w:t>
            </w:r>
          </w:p>
          <w:p w14:paraId="0913FC3F" w14:textId="77777777" w:rsidR="0059404D" w:rsidRDefault="0059404D" w:rsidP="0042202B">
            <w:pPr>
              <w:rPr>
                <w:rFonts w:cstheme="minorHAnsi"/>
                <w:b/>
                <w:color w:val="00B050"/>
              </w:rPr>
            </w:pPr>
            <w:r>
              <w:rPr>
                <w:rFonts w:cstheme="minorHAnsi"/>
                <w:b/>
                <w:color w:val="00B050"/>
              </w:rPr>
              <w:t>+uwaga 86 MC (art. 68s ust. 1 pkt 18)</w:t>
            </w:r>
          </w:p>
          <w:p w14:paraId="42D4B3AB" w14:textId="77777777" w:rsidR="0059404D" w:rsidRDefault="0059404D" w:rsidP="0042202B">
            <w:pPr>
              <w:rPr>
                <w:rFonts w:cstheme="minorHAnsi"/>
                <w:b/>
                <w:color w:val="00B050"/>
              </w:rPr>
            </w:pPr>
          </w:p>
          <w:p w14:paraId="011C8CDC" w14:textId="2191E630" w:rsidR="0059404D" w:rsidRPr="00FA136C" w:rsidRDefault="0059404D" w:rsidP="0042202B">
            <w:pPr>
              <w:rPr>
                <w:rFonts w:cstheme="minorHAnsi"/>
                <w:b/>
                <w:color w:val="00B050"/>
              </w:rPr>
            </w:pPr>
            <w:r>
              <w:rPr>
                <w:rFonts w:cstheme="minorHAnsi"/>
                <w:b/>
                <w:color w:val="00B050"/>
              </w:rPr>
              <w:t>+uwaga 88 MC (art. 68s ust. 1 pkt 20)</w:t>
            </w:r>
          </w:p>
        </w:tc>
        <w:tc>
          <w:tcPr>
            <w:tcW w:w="1701" w:type="dxa"/>
          </w:tcPr>
          <w:p w14:paraId="3F547D0F" w14:textId="7F0A9105" w:rsidR="0059404D" w:rsidRPr="00FC38C7" w:rsidRDefault="0059404D" w:rsidP="0042202B">
            <w:pPr>
              <w:rPr>
                <w:rFonts w:cstheme="minorHAnsi"/>
                <w:b/>
              </w:rPr>
            </w:pPr>
            <w:r w:rsidRPr="00FC38C7">
              <w:rPr>
                <w:rFonts w:cstheme="minorHAnsi"/>
                <w:b/>
              </w:rPr>
              <w:t>Art. 68s ust. 1 pkt 1 i art. 68y ust. 1 pkt 3 UH</w:t>
            </w:r>
            <w:r>
              <w:rPr>
                <w:rFonts w:cstheme="minorHAnsi"/>
                <w:b/>
              </w:rPr>
              <w:t xml:space="preserve">, </w:t>
            </w:r>
            <w:r w:rsidRPr="00FC38C7">
              <w:rPr>
                <w:rFonts w:cstheme="minorHAnsi"/>
                <w:b/>
              </w:rPr>
              <w:t>dostęp do oprogramowania i tajemnicy technologicznej</w:t>
            </w:r>
          </w:p>
        </w:tc>
        <w:tc>
          <w:tcPr>
            <w:tcW w:w="5953" w:type="dxa"/>
          </w:tcPr>
          <w:p w14:paraId="274E7794" w14:textId="03DF4DB8" w:rsidR="0059404D" w:rsidRPr="00FC38C7" w:rsidRDefault="0059404D" w:rsidP="0042202B">
            <w:pPr>
              <w:rPr>
                <w:rFonts w:cstheme="minorHAnsi"/>
                <w:b/>
              </w:rPr>
            </w:pPr>
            <w:r w:rsidRPr="00FC38C7">
              <w:rPr>
                <w:rFonts w:cstheme="minorHAnsi"/>
                <w:b/>
              </w:rPr>
              <w:t>Art. 68s ust. 1 pkt 1 oraz art. 68y ust. 1 pkt 3 uprawniają Dyrektora TDT do żądania dostępu do wszelkich danych technicznych, w tym do oprogramowania wbudowanego w pojazdy, w zakresie niezbędnym do oceny zgodności lub ryzyka. To uprawnienie stwarza ryzyko wycieku kluczowej własności intelektualnej. Należy mieć na uwadze, że dziś oprogramowanie wbudowane w pojazdy to często rdzeń technologicznej przewagi konkurencyjnej. Ryzyko to jest wzmocnione przez art. 68u ust. 2, który zezwala na ujawnienie informacji objętych tajemnicą przedsiębiorstwa, jeśli jest to niezbędne dla usunięcia niezgodności lub ryzyka. Może to być postrzegane jako zniesienie poufności na rzecz interesu publicznego.</w:t>
            </w:r>
          </w:p>
        </w:tc>
        <w:tc>
          <w:tcPr>
            <w:tcW w:w="3827" w:type="dxa"/>
          </w:tcPr>
          <w:p w14:paraId="667A0F9A" w14:textId="31EDCD2F" w:rsidR="0059404D" w:rsidRPr="00650E07" w:rsidRDefault="0059404D" w:rsidP="0042202B">
            <w:pPr>
              <w:rPr>
                <w:rFonts w:cstheme="minorHAnsi"/>
                <w:b/>
              </w:rPr>
            </w:pPr>
            <w:r w:rsidRPr="00650E07">
              <w:rPr>
                <w:rFonts w:cstheme="minorHAnsi"/>
                <w:b/>
              </w:rPr>
              <w:t>Uwaga wyjaśniona – zapis wynika z art. 14 ust. 4 lit. a rozporządzenia (UE) 2019/1020:</w:t>
            </w:r>
          </w:p>
          <w:p w14:paraId="3CF85BC3" w14:textId="69C0DBB7" w:rsidR="0059404D" w:rsidRPr="00650E07" w:rsidRDefault="0059404D" w:rsidP="0042202B">
            <w:pPr>
              <w:rPr>
                <w:rFonts w:cstheme="minorHAnsi"/>
                <w:b/>
                <w:i/>
              </w:rPr>
            </w:pPr>
            <w:r w:rsidRPr="00650E07">
              <w:rPr>
                <w:rFonts w:cstheme="minorHAnsi"/>
                <w:b/>
                <w:i/>
              </w:rPr>
              <w:t xml:space="preserve">„4.Uprawnienia nadane organom nadzoru rynku na mocy ust. 1 obejmują co najmniej następujące uprawnienia: </w:t>
            </w:r>
          </w:p>
          <w:p w14:paraId="13CCC879" w14:textId="73ED753C" w:rsidR="0059404D" w:rsidRPr="00650E07" w:rsidRDefault="0059404D" w:rsidP="0042202B">
            <w:pPr>
              <w:rPr>
                <w:rFonts w:cstheme="minorHAnsi"/>
                <w:b/>
                <w:i/>
              </w:rPr>
            </w:pPr>
            <w:r w:rsidRPr="00650E07">
              <w:rPr>
                <w:rFonts w:cstheme="minorHAnsi"/>
                <w:b/>
                <w:i/>
              </w:rPr>
              <w:t>a) uprawnienia do wymagania od podmiotów gospodarczych przedstawienia odpowiednich dokumentów, specyfikacji technicznych, danych lub informacji dotyczących zgodności i aspektów technicznych produktu, w tym udzielenia dostępu do wbudowanego oprogramowania w zakresie, w jakim taki dostęp jest niezbędny do celów oceny zgodności produktu z obowiązującym unijnym prawodawstwem harmonizacyjnym, w każdej formie lub formacie i niezależnie od nośnika danych lub miejsca, w którym takie dokumenty, specyfikacje techniczne, dane lub informacje są przechowywane, oraz uprawnienia do przyjęcia lub pozyskania kopii tych dokumentów, specyfikacji technicznych, danych lub informacji;”</w:t>
            </w:r>
          </w:p>
          <w:p w14:paraId="77B7716F" w14:textId="77777777" w:rsidR="0059404D" w:rsidRPr="00650E07" w:rsidRDefault="0059404D" w:rsidP="0042202B">
            <w:pPr>
              <w:rPr>
                <w:rFonts w:cstheme="minorHAnsi"/>
                <w:b/>
              </w:rPr>
            </w:pPr>
          </w:p>
          <w:p w14:paraId="24F0BED7" w14:textId="37F60368" w:rsidR="0059404D" w:rsidRPr="00650E07" w:rsidRDefault="0059404D"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r w:rsidRPr="00650E07">
              <w:rPr>
                <w:rFonts w:asciiTheme="minorHAnsi" w:eastAsiaTheme="minorHAnsi" w:hAnsiTheme="minorHAnsi" w:cstheme="minorHAnsi"/>
                <w:b/>
                <w:sz w:val="22"/>
                <w:szCs w:val="22"/>
                <w:lang w:eastAsia="en-US"/>
              </w:rPr>
              <w:t>W wyniku uwagi dokonano zmiany ust. 2</w:t>
            </w:r>
            <w:bookmarkStart w:id="36" w:name="_Hlk134520268"/>
            <w:r w:rsidRPr="00650E07">
              <w:rPr>
                <w:rFonts w:asciiTheme="minorHAnsi" w:eastAsiaTheme="minorHAnsi" w:hAnsiTheme="minorHAnsi" w:cstheme="minorHAnsi"/>
                <w:b/>
                <w:sz w:val="22"/>
                <w:szCs w:val="22"/>
                <w:lang w:eastAsia="en-US"/>
              </w:rPr>
              <w:t xml:space="preserve"> w art. 68u poprzez doprecyzowanie sytuacji, w której informacje będą podlegały ujawnieniu: </w:t>
            </w:r>
          </w:p>
          <w:p w14:paraId="42C28339" w14:textId="77777777" w:rsidR="0059404D" w:rsidRPr="00650E07"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650E07">
              <w:rPr>
                <w:rFonts w:asciiTheme="minorHAnsi" w:eastAsiaTheme="minorHAnsi" w:hAnsiTheme="minorHAnsi" w:cstheme="minorHAnsi"/>
                <w:b/>
                <w:i/>
                <w:sz w:val="22"/>
                <w:szCs w:val="22"/>
                <w:lang w:eastAsia="en-US"/>
              </w:rPr>
              <w:t>„Uzyskane w toku prowadzonych kontroli lub postępowań</w:t>
            </w:r>
            <w:bookmarkEnd w:id="36"/>
            <w:r w:rsidRPr="00650E07">
              <w:rPr>
                <w:rFonts w:asciiTheme="minorHAnsi" w:eastAsiaTheme="minorHAnsi" w:hAnsiTheme="minorHAnsi" w:cstheme="minorHAnsi"/>
                <w:b/>
                <w:i/>
                <w:sz w:val="22"/>
                <w:szCs w:val="22"/>
                <w:lang w:eastAsia="en-US"/>
              </w:rPr>
              <w:t xml:space="preserve"> informacje, o których mowa w ust. 1, w tym objęte tajemnicą przedsiębiorstwa, oraz dowody, podlegają ujawnieniu, jeżeli jest to niezbędne ze względu na konieczność usunięcia niezgodności pojazdu, przedmiotu wyposażenie lub części z wymaganiami technicznymi lub stwarzania przez nich poważnego ryzyka w przypadku odmowy ich usunięcia przez podmiot gospodarczy.”</w:t>
            </w:r>
          </w:p>
          <w:p w14:paraId="62CCE8E8" w14:textId="77777777" w:rsidR="0059404D" w:rsidRPr="00650E07"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p>
          <w:p w14:paraId="6D178DC8" w14:textId="69C420C8" w:rsidR="0059404D" w:rsidRPr="00650E07" w:rsidRDefault="0059404D" w:rsidP="0042202B">
            <w:pPr>
              <w:autoSpaceDE w:val="0"/>
              <w:autoSpaceDN w:val="0"/>
              <w:adjustRightInd w:val="0"/>
              <w:rPr>
                <w:rFonts w:cstheme="minorHAnsi"/>
                <w:b/>
                <w:i/>
              </w:rPr>
            </w:pPr>
            <w:r w:rsidRPr="00650E07">
              <w:rPr>
                <w:rFonts w:cstheme="minorHAnsi"/>
                <w:b/>
              </w:rPr>
              <w:t>Procedowany przez MRiT projekt UC45 o nadzorze nad spełnianiem wymagań dotyczących produktów zawiera podobne przepis:</w:t>
            </w:r>
            <w:r w:rsidRPr="00650E07">
              <w:rPr>
                <w:rFonts w:cstheme="minorHAnsi"/>
                <w:b/>
                <w:i/>
              </w:rPr>
              <w:t xml:space="preserve"> </w:t>
            </w:r>
            <w:r>
              <w:rPr>
                <w:rFonts w:cstheme="minorHAnsi"/>
                <w:b/>
                <w:i/>
              </w:rPr>
              <w:t>„a</w:t>
            </w:r>
            <w:r w:rsidRPr="00650E07">
              <w:rPr>
                <w:rFonts w:cstheme="minorHAnsi"/>
                <w:b/>
                <w:i/>
              </w:rPr>
              <w:t>rt. 27. 1. W toku kontroli kontrolujący, w zakresie objętym kontrolą, ma prawo</w:t>
            </w:r>
            <w:r>
              <w:rPr>
                <w:rFonts w:cstheme="minorHAnsi"/>
                <w:b/>
                <w:i/>
              </w:rPr>
              <w:t xml:space="preserve"> </w:t>
            </w:r>
            <w:r w:rsidRPr="00650E07">
              <w:rPr>
                <w:rFonts w:cstheme="minorHAnsi"/>
                <w:b/>
                <w:i/>
              </w:rPr>
              <w:t>w szczególności do:</w:t>
            </w:r>
          </w:p>
          <w:p w14:paraId="747158A5" w14:textId="338BF91D" w:rsidR="0059404D" w:rsidRPr="00650E07" w:rsidRDefault="0059404D" w:rsidP="0042202B">
            <w:pPr>
              <w:autoSpaceDE w:val="0"/>
              <w:autoSpaceDN w:val="0"/>
              <w:adjustRightInd w:val="0"/>
              <w:rPr>
                <w:rFonts w:cstheme="minorHAnsi"/>
                <w:b/>
                <w:i/>
              </w:rPr>
            </w:pPr>
            <w:r w:rsidRPr="00650E07">
              <w:rPr>
                <w:rFonts w:cstheme="minorHAnsi"/>
                <w:b/>
                <w:i/>
              </w:rPr>
              <w:t>3) żądania przedstawienia odpowiednich dokumentów, specyfikacji technicznych, danych</w:t>
            </w:r>
            <w:r>
              <w:rPr>
                <w:rFonts w:cstheme="minorHAnsi"/>
                <w:b/>
                <w:i/>
              </w:rPr>
              <w:t xml:space="preserve"> </w:t>
            </w:r>
            <w:r w:rsidRPr="00650E07">
              <w:rPr>
                <w:rFonts w:cstheme="minorHAnsi"/>
                <w:b/>
                <w:i/>
              </w:rPr>
              <w:t>lub informacji dotyczących zgodności produktu z wymaganiami i aspektów technicznych</w:t>
            </w:r>
          </w:p>
          <w:p w14:paraId="49BE3679" w14:textId="62F8A8FD" w:rsidR="0059404D" w:rsidRPr="00650E07" w:rsidRDefault="0059404D" w:rsidP="0042202B">
            <w:pPr>
              <w:autoSpaceDE w:val="0"/>
              <w:autoSpaceDN w:val="0"/>
              <w:adjustRightInd w:val="0"/>
              <w:rPr>
                <w:rFonts w:cstheme="minorHAnsi"/>
                <w:b/>
                <w:i/>
              </w:rPr>
            </w:pPr>
            <w:r w:rsidRPr="00650E07">
              <w:rPr>
                <w:rFonts w:cstheme="minorHAnsi"/>
                <w:b/>
                <w:i/>
              </w:rPr>
              <w:t>produktu, w tym do udzielenia dostępu do wbudowanego oprogramowania w zakresie,</w:t>
            </w:r>
            <w:r>
              <w:rPr>
                <w:rFonts w:cstheme="minorHAnsi"/>
                <w:b/>
                <w:i/>
              </w:rPr>
              <w:t xml:space="preserve"> </w:t>
            </w:r>
            <w:r w:rsidRPr="00650E07">
              <w:rPr>
                <w:rFonts w:cstheme="minorHAnsi"/>
                <w:b/>
                <w:i/>
              </w:rPr>
              <w:t>w jakim dostęp ten jest niezbędny do oceny zgodności produktu z wymaganiami, w każdej</w:t>
            </w:r>
            <w:r>
              <w:rPr>
                <w:rFonts w:cstheme="minorHAnsi"/>
                <w:b/>
                <w:i/>
              </w:rPr>
              <w:t xml:space="preserve"> </w:t>
            </w:r>
            <w:r w:rsidRPr="00650E07">
              <w:rPr>
                <w:rFonts w:cstheme="minorHAnsi"/>
                <w:b/>
                <w:i/>
              </w:rPr>
              <w:t>formie i formacie, niezależne od nośnika danych lub miejsca, w którym takie dokumenty,</w:t>
            </w:r>
          </w:p>
          <w:p w14:paraId="084E2084" w14:textId="6F95BB09" w:rsidR="0059404D" w:rsidRPr="00650E07"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650E07">
              <w:rPr>
                <w:rFonts w:asciiTheme="minorHAnsi" w:eastAsiaTheme="minorHAnsi" w:hAnsiTheme="minorHAnsi" w:cstheme="minorHAnsi"/>
                <w:b/>
                <w:i/>
                <w:sz w:val="22"/>
                <w:szCs w:val="22"/>
                <w:lang w:eastAsia="en-US"/>
              </w:rPr>
              <w:t>specyfikacje techniczne, dane lub informacje są przechowywane;</w:t>
            </w:r>
            <w:r>
              <w:rPr>
                <w:rFonts w:asciiTheme="minorHAnsi" w:eastAsiaTheme="minorHAnsi" w:hAnsiTheme="minorHAnsi" w:cstheme="minorHAnsi"/>
                <w:b/>
                <w:i/>
                <w:sz w:val="22"/>
                <w:szCs w:val="22"/>
                <w:lang w:eastAsia="en-US"/>
              </w:rPr>
              <w:t>”</w:t>
            </w:r>
          </w:p>
        </w:tc>
        <w:tc>
          <w:tcPr>
            <w:tcW w:w="3686" w:type="dxa"/>
          </w:tcPr>
          <w:p w14:paraId="2646D4DD" w14:textId="110DEC37" w:rsidR="0059404D" w:rsidRPr="00650E07" w:rsidRDefault="00A15299" w:rsidP="0042202B">
            <w:pPr>
              <w:rPr>
                <w:rFonts w:cstheme="minorHAnsi"/>
                <w:b/>
              </w:rPr>
            </w:pPr>
            <w:r>
              <w:rPr>
                <w:rFonts w:cstheme="minorHAnsi"/>
                <w:b/>
              </w:rPr>
              <w:t xml:space="preserve">Akceptacja </w:t>
            </w:r>
            <w:r w:rsidR="00CB529C">
              <w:rPr>
                <w:rFonts w:cstheme="minorHAnsi"/>
                <w:b/>
              </w:rPr>
              <w:t xml:space="preserve"> </w:t>
            </w:r>
          </w:p>
        </w:tc>
      </w:tr>
      <w:tr w:rsidR="0059404D" w:rsidRPr="00F515D6" w14:paraId="668D2142" w14:textId="0660EA5F" w:rsidTr="00D76FE7">
        <w:tc>
          <w:tcPr>
            <w:tcW w:w="562" w:type="dxa"/>
          </w:tcPr>
          <w:p w14:paraId="5BF21352" w14:textId="77777777" w:rsidR="0059404D" w:rsidRPr="00E815EE" w:rsidRDefault="0059404D" w:rsidP="0042202B">
            <w:pPr>
              <w:rPr>
                <w:rFonts w:cstheme="minorHAnsi"/>
                <w:b/>
              </w:rPr>
            </w:pPr>
            <w:r w:rsidRPr="00E815EE">
              <w:rPr>
                <w:rFonts w:cstheme="minorHAnsi"/>
                <w:b/>
              </w:rPr>
              <w:t>36</w:t>
            </w:r>
          </w:p>
        </w:tc>
        <w:tc>
          <w:tcPr>
            <w:tcW w:w="993" w:type="dxa"/>
          </w:tcPr>
          <w:p w14:paraId="70DC145E" w14:textId="77777777" w:rsidR="0059404D" w:rsidRPr="00E815EE" w:rsidRDefault="0059404D" w:rsidP="0042202B">
            <w:pPr>
              <w:rPr>
                <w:rFonts w:cstheme="minorHAnsi"/>
                <w:b/>
              </w:rPr>
            </w:pPr>
            <w:r w:rsidRPr="00E815EE">
              <w:rPr>
                <w:rFonts w:cstheme="minorHAnsi"/>
                <w:b/>
              </w:rPr>
              <w:t>MFiG (MRiT)</w:t>
            </w:r>
          </w:p>
        </w:tc>
        <w:tc>
          <w:tcPr>
            <w:tcW w:w="1701" w:type="dxa"/>
          </w:tcPr>
          <w:p w14:paraId="46064359" w14:textId="77777777" w:rsidR="0059404D" w:rsidRPr="00E815EE" w:rsidRDefault="0059404D" w:rsidP="0042202B">
            <w:pPr>
              <w:rPr>
                <w:rFonts w:cstheme="minorHAnsi"/>
                <w:b/>
              </w:rPr>
            </w:pPr>
            <w:r w:rsidRPr="00E815EE">
              <w:rPr>
                <w:rFonts w:cstheme="minorHAnsi"/>
                <w:b/>
              </w:rPr>
              <w:t>art. 68zi UH (zakup kontrolny pod ukrytą tożsamością)</w:t>
            </w:r>
          </w:p>
        </w:tc>
        <w:tc>
          <w:tcPr>
            <w:tcW w:w="5953" w:type="dxa"/>
          </w:tcPr>
          <w:p w14:paraId="79528811" w14:textId="4C334133" w:rsidR="0059404D" w:rsidRPr="00E815EE" w:rsidRDefault="0059404D" w:rsidP="0042202B">
            <w:pPr>
              <w:rPr>
                <w:rFonts w:cstheme="minorHAnsi"/>
                <w:b/>
              </w:rPr>
            </w:pPr>
            <w:r w:rsidRPr="00E815EE">
              <w:rPr>
                <w:rFonts w:cstheme="minorHAnsi"/>
                <w:b/>
              </w:rPr>
              <w:t>Art. 68zi legalizuje zakup kontrolny w e-commerce oraz upoważnia kontrolującego do posługiwania się innym niż rzeczywiste imieniem i nazwiskiem w celu zapewnienia anonimowości. Takie środki operacyjne są raczej charakterystyczne dla organów ścigania oraz mogą naruszyć zasadę zaufania przedsiębiorcy do państwa. Ponadto okazanie upoważnienia i legitymacji służbowej następuje dopiero po 7 dniach od sporządzenia protokołu z badań (art. 68zi ust. 10), może to uniemożliwić kontrolowanemu obronę proceduralną na wstępnym etapie postępowania.</w:t>
            </w:r>
          </w:p>
        </w:tc>
        <w:tc>
          <w:tcPr>
            <w:tcW w:w="3827" w:type="dxa"/>
          </w:tcPr>
          <w:p w14:paraId="40CB807A" w14:textId="77777777" w:rsidR="0059404D" w:rsidRDefault="0059404D" w:rsidP="0042202B">
            <w:pPr>
              <w:rPr>
                <w:rFonts w:cstheme="minorHAnsi"/>
                <w:b/>
              </w:rPr>
            </w:pPr>
            <w:r w:rsidRPr="008807F6">
              <w:rPr>
                <w:rFonts w:cstheme="minorHAnsi"/>
                <w:b/>
              </w:rPr>
              <w:t xml:space="preserve">Uwaga </w:t>
            </w:r>
            <w:r>
              <w:rPr>
                <w:rFonts w:cstheme="minorHAnsi"/>
                <w:b/>
              </w:rPr>
              <w:t>wyjaśniona - r</w:t>
            </w:r>
            <w:r w:rsidRPr="008807F6">
              <w:rPr>
                <w:rFonts w:cstheme="minorHAnsi"/>
                <w:b/>
              </w:rPr>
              <w:t>ealizując założenia motywu 40 do rozporządzenia 2019/1020 tj.</w:t>
            </w:r>
            <w:r>
              <w:rPr>
                <w:rFonts w:cstheme="minorHAnsi"/>
                <w:b/>
              </w:rPr>
              <w:t>:</w:t>
            </w:r>
            <w:r w:rsidRPr="008807F6">
              <w:rPr>
                <w:rFonts w:cstheme="minorHAnsi"/>
                <w:b/>
              </w:rPr>
              <w:t xml:space="preserve"> </w:t>
            </w:r>
            <w:r w:rsidRPr="008807F6">
              <w:rPr>
                <w:rFonts w:cstheme="minorHAnsi"/>
                <w:b/>
                <w:i/>
              </w:rPr>
              <w:t>„</w:t>
            </w:r>
            <w:r w:rsidRPr="008807F6">
              <w:rPr>
                <w:b/>
                <w:i/>
              </w:rPr>
              <w:t xml:space="preserve">Organy nadzoru rynku powinny mieć możliwość kontroli zgodności produktów, które mają zostać udostępnione na rynku, z unijnym prawodawstwem harmonizacyjnym oraz pozyskania dowodów niezgodności. Powinny zatem być uprawnione do pozyskiwania produktów, a jeżeli dowodów nie można uzyskać w inny sposób - do zakupu produktów pod ukrytą tożsamością” </w:t>
            </w:r>
            <w:r w:rsidRPr="008807F6">
              <w:rPr>
                <w:b/>
              </w:rPr>
              <w:t xml:space="preserve">w rozporządzeniu tym wprowadzono art. 14, który w ust. 1 stanowi, że </w:t>
            </w:r>
            <w:r w:rsidRPr="008807F6">
              <w:rPr>
                <w:rFonts w:cstheme="minorHAnsi"/>
                <w:b/>
              </w:rPr>
              <w:t>„</w:t>
            </w:r>
            <w:r w:rsidRPr="008807F6">
              <w:rPr>
                <w:rFonts w:cstheme="minorHAnsi"/>
                <w:b/>
                <w:i/>
              </w:rPr>
              <w:t>Państwa członkowskie nadają swoim organom nadzoru rynku uprawnienia do nadzorowania rynku, prowadzenia postępowań i egzekwowania przepisów, które są niezbędne do stosowania niniejszego rozporządzenia oraz do stosowania unijnego prawodawstwa harmonizacyjnego.</w:t>
            </w:r>
            <w:r w:rsidRPr="008807F6">
              <w:rPr>
                <w:rFonts w:cstheme="minorHAnsi"/>
                <w:b/>
              </w:rPr>
              <w:t xml:space="preserve">” </w:t>
            </w:r>
          </w:p>
          <w:p w14:paraId="5E980B42" w14:textId="6F9E265A" w:rsidR="0059404D" w:rsidRPr="002F15C1" w:rsidRDefault="0059404D" w:rsidP="0042202B">
            <w:pPr>
              <w:rPr>
                <w:rFonts w:cstheme="minorHAnsi"/>
                <w:b/>
              </w:rPr>
            </w:pPr>
            <w:r w:rsidRPr="008807F6">
              <w:rPr>
                <w:rFonts w:cstheme="minorHAnsi"/>
                <w:b/>
              </w:rPr>
              <w:t>Natomiast zgodnie z ust. 4 lit. j tego przepisu</w:t>
            </w:r>
            <w:r>
              <w:rPr>
                <w:rFonts w:cstheme="minorHAnsi"/>
                <w:b/>
              </w:rPr>
              <w:t xml:space="preserve">: </w:t>
            </w:r>
            <w:r w:rsidRPr="008807F6">
              <w:rPr>
                <w:rFonts w:cstheme="minorHAnsi"/>
                <w:b/>
                <w:i/>
              </w:rPr>
              <w:t xml:space="preserve">„Uprawnienia nadane organom nadzoru rynku na mocy ust. 1 obejmują co najmniej następujące uprawnienia: uprawnienia do pozyskiwania próbek produktów, w tym pod ukrytą tożsamością, aby je zbadać i poddać inżynierii odwrotnej w celu wykrycia niezgodności i uzyskania dowodów”. </w:t>
            </w:r>
          </w:p>
          <w:p w14:paraId="0CDCD106" w14:textId="77777777" w:rsidR="0059404D" w:rsidRPr="002D5762" w:rsidRDefault="0059404D" w:rsidP="0042202B">
            <w:pPr>
              <w:rPr>
                <w:rFonts w:cstheme="minorHAnsi"/>
                <w:b/>
              </w:rPr>
            </w:pPr>
            <w:r w:rsidRPr="002D5762">
              <w:rPr>
                <w:rFonts w:cstheme="minorHAnsi"/>
                <w:b/>
              </w:rPr>
              <w:t xml:space="preserve">Zapis art. 68zi dotyczący zakupu pod ukrytą tożsamością jest </w:t>
            </w:r>
            <w:r>
              <w:rPr>
                <w:rFonts w:cstheme="minorHAnsi"/>
                <w:b/>
              </w:rPr>
              <w:t xml:space="preserve">zatem </w:t>
            </w:r>
            <w:r w:rsidRPr="002D5762">
              <w:rPr>
                <w:rFonts w:cstheme="minorHAnsi"/>
                <w:b/>
              </w:rPr>
              <w:t>realizacją art. 14 rozporządzenia 2019/1020. Organ nadzoru rynku musi mieć możliwość dokonywania takich zakupów, co wynika wprost z prawa wspólnotowego.</w:t>
            </w:r>
          </w:p>
          <w:p w14:paraId="0E4B8D2D" w14:textId="77777777" w:rsidR="0059404D" w:rsidRDefault="0059404D" w:rsidP="0042202B">
            <w:pPr>
              <w:rPr>
                <w:rFonts w:cstheme="minorHAnsi"/>
                <w:b/>
              </w:rPr>
            </w:pPr>
            <w:r w:rsidRPr="002D5762">
              <w:rPr>
                <w:rFonts w:cstheme="minorHAnsi"/>
                <w:b/>
              </w:rPr>
              <w:t>Dodatkowo należy zauważyć, że organ nadzoru rynku powinien mieć również możliwość zakupu pojazdów, przedmiotów wyposażenia i części pod ukrytą tożsamością, ponieważ sprzedawca wiedząc o kontroli mógłby specjalnie wysyłać do kontroli produkt zgodny z wymaganiami technicznymi, a innym użytkownikom udostępniać w dalszym ciągu produkty niezgodne</w:t>
            </w:r>
            <w:r>
              <w:rPr>
                <w:rFonts w:cstheme="minorHAnsi"/>
                <w:b/>
              </w:rPr>
              <w:t xml:space="preserve"> z przewidzianymi dla niego przepisami</w:t>
            </w:r>
            <w:r w:rsidRPr="002D5762">
              <w:rPr>
                <w:rFonts w:cstheme="minorHAnsi"/>
                <w:b/>
              </w:rPr>
              <w:t>.</w:t>
            </w:r>
          </w:p>
          <w:p w14:paraId="0373C175" w14:textId="77777777" w:rsidR="0059404D" w:rsidRDefault="0059404D" w:rsidP="0042202B">
            <w:pPr>
              <w:rPr>
                <w:b/>
                <w:i/>
                <w:szCs w:val="24"/>
              </w:rPr>
            </w:pPr>
          </w:p>
          <w:p w14:paraId="0AD14B45" w14:textId="77777777" w:rsidR="0059404D" w:rsidRDefault="0059404D" w:rsidP="0042202B">
            <w:pPr>
              <w:rPr>
                <w:rFonts w:cstheme="minorHAnsi"/>
                <w:b/>
              </w:rPr>
            </w:pPr>
            <w:r>
              <w:rPr>
                <w:rFonts w:cstheme="minorHAnsi"/>
                <w:b/>
              </w:rPr>
              <w:t xml:space="preserve">Prezes UODO nie zgłosił uwag do tego przepisu. </w:t>
            </w:r>
          </w:p>
          <w:p w14:paraId="1A415E86" w14:textId="77777777" w:rsidR="0059404D" w:rsidRPr="00E815EE" w:rsidRDefault="0059404D" w:rsidP="0042202B">
            <w:pPr>
              <w:rPr>
                <w:rFonts w:cstheme="minorHAnsi"/>
                <w:b/>
              </w:rPr>
            </w:pPr>
          </w:p>
          <w:p w14:paraId="58D406F5" w14:textId="31CA56F0" w:rsidR="0059404D" w:rsidRDefault="0059404D" w:rsidP="0042202B">
            <w:pPr>
              <w:rPr>
                <w:rFonts w:cstheme="minorHAnsi"/>
                <w:b/>
              </w:rPr>
            </w:pPr>
            <w:r>
              <w:rPr>
                <w:rFonts w:cstheme="minorHAnsi"/>
                <w:b/>
              </w:rPr>
              <w:t xml:space="preserve">W kontekście uwagi MC (pkt 60) zaproponowano zmianę w art. 68zi ust. 14 w powiązaniu z ust. 13 poprzez dodanie określenia „fikcyjne”: </w:t>
            </w:r>
          </w:p>
          <w:p w14:paraId="591BBB65" w14:textId="77777777" w:rsidR="0059404D" w:rsidRDefault="0059404D" w:rsidP="0042202B">
            <w:pPr>
              <w:rPr>
                <w:rFonts w:cstheme="minorHAnsi"/>
                <w:b/>
              </w:rPr>
            </w:pPr>
          </w:p>
          <w:p w14:paraId="17F0FC18" w14:textId="77777777" w:rsidR="0059404D" w:rsidRPr="008807F6"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8807F6">
              <w:rPr>
                <w:rFonts w:asciiTheme="minorHAnsi" w:eastAsiaTheme="minorHAnsi" w:hAnsiTheme="minorHAnsi" w:cstheme="minorHAnsi"/>
                <w:b/>
                <w:i/>
                <w:sz w:val="22"/>
                <w:szCs w:val="22"/>
                <w:lang w:eastAsia="en-US"/>
              </w:rPr>
              <w:t>13. W celu zapewnienia anonimowości kontrolujący jest uprawniony do posługiwania się innym niż rzeczywiste imieniem i nazwiskiem oraz adresem zamieszkania, a także innym niż służbowy adresem mailowym, którego login nie ujawnia tożsamości kontrolującego.</w:t>
            </w:r>
          </w:p>
          <w:p w14:paraId="24C98D54" w14:textId="77777777" w:rsidR="0059404D"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8807F6">
              <w:rPr>
                <w:rFonts w:asciiTheme="minorHAnsi" w:eastAsiaTheme="minorHAnsi" w:hAnsiTheme="minorHAnsi" w:cstheme="minorHAnsi"/>
                <w:b/>
                <w:i/>
                <w:sz w:val="22"/>
                <w:szCs w:val="22"/>
                <w:lang w:eastAsia="en-US"/>
              </w:rPr>
              <w:t xml:space="preserve">14. Dyrektor TDT jako organ nadzoru rynku prowadzi bazę </w:t>
            </w:r>
            <w:r w:rsidRPr="00E815EE">
              <w:rPr>
                <w:rFonts w:asciiTheme="minorHAnsi" w:eastAsiaTheme="minorHAnsi" w:hAnsiTheme="minorHAnsi" w:cstheme="minorHAnsi"/>
                <w:b/>
                <w:i/>
                <w:sz w:val="22"/>
                <w:szCs w:val="22"/>
                <w:u w:val="single"/>
                <w:lang w:eastAsia="en-US"/>
              </w:rPr>
              <w:t>fikcyjnych</w:t>
            </w:r>
            <w:r>
              <w:rPr>
                <w:rFonts w:asciiTheme="minorHAnsi" w:eastAsiaTheme="minorHAnsi" w:hAnsiTheme="minorHAnsi" w:cstheme="minorHAnsi"/>
                <w:b/>
                <w:i/>
                <w:sz w:val="22"/>
                <w:szCs w:val="22"/>
                <w:lang w:eastAsia="en-US"/>
              </w:rPr>
              <w:t xml:space="preserve"> </w:t>
            </w:r>
            <w:r w:rsidRPr="008807F6">
              <w:rPr>
                <w:rFonts w:asciiTheme="minorHAnsi" w:eastAsiaTheme="minorHAnsi" w:hAnsiTheme="minorHAnsi" w:cstheme="minorHAnsi"/>
                <w:b/>
                <w:i/>
                <w:sz w:val="22"/>
                <w:szCs w:val="22"/>
                <w:lang w:eastAsia="en-US"/>
              </w:rPr>
              <w:t>imion i nazwisk, adresów zamieszkania oraz adresów mailowych, spośród których losowo jest wybierane imię i nazwisko, adres zamieszkania oraz adres mailowy, o których mowa w ust. 13.</w:t>
            </w:r>
            <w:r>
              <w:rPr>
                <w:rFonts w:asciiTheme="minorHAnsi" w:eastAsiaTheme="minorHAnsi" w:hAnsiTheme="minorHAnsi" w:cstheme="minorHAnsi"/>
                <w:b/>
                <w:i/>
                <w:sz w:val="22"/>
                <w:szCs w:val="22"/>
                <w:lang w:eastAsia="en-US"/>
              </w:rPr>
              <w:t>”</w:t>
            </w:r>
          </w:p>
          <w:p w14:paraId="175D32C4" w14:textId="6D714A8A" w:rsidR="0059404D" w:rsidRDefault="0059404D"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p>
          <w:p w14:paraId="19379410" w14:textId="1D4B7B1A" w:rsidR="0059404D" w:rsidRPr="007B260B" w:rsidRDefault="0059404D" w:rsidP="0042202B">
            <w:pPr>
              <w:autoSpaceDE w:val="0"/>
              <w:autoSpaceDN w:val="0"/>
              <w:adjustRightInd w:val="0"/>
              <w:rPr>
                <w:rFonts w:cstheme="minorHAnsi"/>
                <w:b/>
                <w:i/>
              </w:rPr>
            </w:pPr>
            <w:r w:rsidRPr="00BC20CB">
              <w:rPr>
                <w:rFonts w:cstheme="minorHAnsi"/>
                <w:b/>
              </w:rPr>
              <w:t xml:space="preserve">Procedowany przez MRiT projekt </w:t>
            </w:r>
            <w:r>
              <w:rPr>
                <w:rFonts w:cstheme="minorHAnsi"/>
                <w:b/>
              </w:rPr>
              <w:t xml:space="preserve">UC45 </w:t>
            </w:r>
            <w:r w:rsidRPr="007B260B">
              <w:rPr>
                <w:rFonts w:cstheme="minorHAnsi"/>
                <w:b/>
                <w:i/>
              </w:rPr>
              <w:t>o nadzorze nad spełnianiem wymagań dotyczących produktów</w:t>
            </w:r>
            <w:r>
              <w:rPr>
                <w:rFonts w:cstheme="minorHAnsi"/>
                <w:b/>
              </w:rPr>
              <w:t xml:space="preserve"> </w:t>
            </w:r>
            <w:r w:rsidRPr="00BC20CB">
              <w:rPr>
                <w:rFonts w:cstheme="minorHAnsi"/>
                <w:b/>
              </w:rPr>
              <w:t xml:space="preserve">zawiera </w:t>
            </w:r>
            <w:r>
              <w:rPr>
                <w:rFonts w:cstheme="minorHAnsi"/>
                <w:b/>
              </w:rPr>
              <w:t>a</w:t>
            </w:r>
            <w:r w:rsidRPr="00BC20CB">
              <w:rPr>
                <w:rFonts w:cstheme="minorHAnsi"/>
                <w:b/>
              </w:rPr>
              <w:t>rt. 31</w:t>
            </w:r>
            <w:r>
              <w:rPr>
                <w:rFonts w:cstheme="minorHAnsi"/>
                <w:b/>
              </w:rPr>
              <w:t xml:space="preserve"> ust. </w:t>
            </w:r>
            <w:r w:rsidRPr="00BC20CB">
              <w:rPr>
                <w:rFonts w:cstheme="minorHAnsi"/>
                <w:b/>
              </w:rPr>
              <w:t>1</w:t>
            </w:r>
            <w:r>
              <w:rPr>
                <w:rFonts w:cstheme="minorHAnsi"/>
                <w:b/>
              </w:rPr>
              <w:t>, który również przewiduje anonimowość:</w:t>
            </w:r>
            <w:r w:rsidRPr="00BC20CB">
              <w:rPr>
                <w:rFonts w:cstheme="minorHAnsi"/>
                <w:b/>
              </w:rPr>
              <w:t xml:space="preserve"> </w:t>
            </w:r>
            <w:r w:rsidRPr="007B260B">
              <w:rPr>
                <w:rFonts w:cstheme="minorHAnsi"/>
                <w:b/>
                <w:i/>
              </w:rPr>
              <w:t>„W celu uzyskania dowodów niezgodności produktu z wymaganiami lub</w:t>
            </w:r>
            <w:r>
              <w:rPr>
                <w:rFonts w:cstheme="minorHAnsi"/>
                <w:b/>
                <w:i/>
              </w:rPr>
              <w:t xml:space="preserve"> </w:t>
            </w:r>
            <w:r w:rsidRPr="007B260B">
              <w:rPr>
                <w:rFonts w:cstheme="minorHAnsi"/>
                <w:b/>
                <w:i/>
              </w:rPr>
              <w:t>stwarzania przez produkt ryzyka, kontrolujący ma prawo do zakupu produktów bez ujawniania</w:t>
            </w:r>
          </w:p>
          <w:p w14:paraId="6E3AF31A" w14:textId="73BE478B" w:rsidR="0059404D" w:rsidRPr="00650E07"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7B260B">
              <w:rPr>
                <w:rFonts w:asciiTheme="minorHAnsi" w:eastAsiaTheme="minorHAnsi" w:hAnsiTheme="minorHAnsi" w:cstheme="minorHAnsi"/>
                <w:b/>
                <w:i/>
                <w:sz w:val="22"/>
                <w:szCs w:val="22"/>
                <w:lang w:eastAsia="en-US"/>
              </w:rPr>
              <w:t>tożsamości kontrolującego.”</w:t>
            </w:r>
          </w:p>
        </w:tc>
        <w:tc>
          <w:tcPr>
            <w:tcW w:w="3686" w:type="dxa"/>
          </w:tcPr>
          <w:p w14:paraId="4F0BE7F2" w14:textId="012DF9B4" w:rsidR="0059404D" w:rsidRPr="008807F6" w:rsidRDefault="00A15299" w:rsidP="0042202B">
            <w:pPr>
              <w:rPr>
                <w:rFonts w:cstheme="minorHAnsi"/>
                <w:b/>
              </w:rPr>
            </w:pPr>
            <w:r>
              <w:rPr>
                <w:rFonts w:cstheme="minorHAnsi"/>
                <w:b/>
              </w:rPr>
              <w:t>Akceptacja</w:t>
            </w:r>
          </w:p>
        </w:tc>
      </w:tr>
      <w:tr w:rsidR="0059404D" w:rsidRPr="00741466" w14:paraId="12356FE3" w14:textId="16CE19EA" w:rsidTr="00D76FE7">
        <w:tc>
          <w:tcPr>
            <w:tcW w:w="562" w:type="dxa"/>
          </w:tcPr>
          <w:p w14:paraId="4F41C1B5" w14:textId="77777777" w:rsidR="0059404D" w:rsidRPr="00741466" w:rsidRDefault="0059404D" w:rsidP="0042202B">
            <w:pPr>
              <w:rPr>
                <w:rFonts w:cstheme="minorHAnsi"/>
                <w:b/>
              </w:rPr>
            </w:pPr>
            <w:r w:rsidRPr="00741466">
              <w:rPr>
                <w:rFonts w:cstheme="minorHAnsi"/>
                <w:b/>
              </w:rPr>
              <w:t>37</w:t>
            </w:r>
          </w:p>
        </w:tc>
        <w:tc>
          <w:tcPr>
            <w:tcW w:w="993" w:type="dxa"/>
          </w:tcPr>
          <w:p w14:paraId="2732147B" w14:textId="77777777" w:rsidR="0059404D" w:rsidRDefault="0059404D" w:rsidP="0042202B">
            <w:pPr>
              <w:rPr>
                <w:rFonts w:cstheme="minorHAnsi"/>
                <w:b/>
              </w:rPr>
            </w:pPr>
            <w:r w:rsidRPr="00741466">
              <w:rPr>
                <w:rFonts w:cstheme="minorHAnsi"/>
                <w:b/>
              </w:rPr>
              <w:t>MFiG (MRiT)</w:t>
            </w:r>
          </w:p>
          <w:p w14:paraId="43A2F51B" w14:textId="77777777" w:rsidR="0059404D" w:rsidRDefault="0059404D" w:rsidP="0042202B">
            <w:pPr>
              <w:rPr>
                <w:rFonts w:cstheme="minorHAnsi"/>
                <w:b/>
              </w:rPr>
            </w:pPr>
          </w:p>
          <w:p w14:paraId="28B129B4" w14:textId="264965B7" w:rsidR="0059404D" w:rsidRPr="005E17D6" w:rsidRDefault="0059404D" w:rsidP="0042202B">
            <w:pPr>
              <w:rPr>
                <w:rFonts w:cstheme="minorHAnsi"/>
                <w:b/>
                <w:color w:val="00B050"/>
              </w:rPr>
            </w:pPr>
            <w:r>
              <w:rPr>
                <w:rFonts w:cstheme="minorHAnsi"/>
                <w:b/>
                <w:color w:val="00B050"/>
              </w:rPr>
              <w:t>+92 MFIG</w:t>
            </w:r>
          </w:p>
        </w:tc>
        <w:tc>
          <w:tcPr>
            <w:tcW w:w="1701" w:type="dxa"/>
          </w:tcPr>
          <w:p w14:paraId="2F9995EA" w14:textId="77777777" w:rsidR="0059404D" w:rsidRPr="00741466" w:rsidRDefault="0059404D" w:rsidP="0042202B">
            <w:pPr>
              <w:rPr>
                <w:rFonts w:cstheme="minorHAnsi"/>
                <w:b/>
              </w:rPr>
            </w:pPr>
            <w:r w:rsidRPr="00741466">
              <w:rPr>
                <w:rFonts w:cstheme="minorHAnsi"/>
                <w:b/>
              </w:rPr>
              <w:t>art. 68za ust. 1 i 2 UH (przeniesienie kosztów badań)</w:t>
            </w:r>
          </w:p>
        </w:tc>
        <w:tc>
          <w:tcPr>
            <w:tcW w:w="5953" w:type="dxa"/>
          </w:tcPr>
          <w:p w14:paraId="3218FC56" w14:textId="77A6BFAD" w:rsidR="0059404D" w:rsidRPr="00741466" w:rsidRDefault="0059404D" w:rsidP="0042202B">
            <w:pPr>
              <w:rPr>
                <w:rFonts w:cstheme="minorHAnsi"/>
                <w:b/>
              </w:rPr>
            </w:pPr>
            <w:r w:rsidRPr="00741466">
              <w:rPr>
                <w:rFonts w:cstheme="minorHAnsi"/>
                <w:b/>
              </w:rPr>
              <w:t>Art. 68za ust. 1 i 2 nakłada na podmiot gospodarczy obowiązek uiszczenia opłaty stanowiącej równowartość pełnych kosztów przeprowadzonych badań, a także kosztów transportu, przechowywania i utylizacji w przypadku stwierdzenia niezgodności produktu. Przedmiotowy mechanizm może generować nieproporcjonalne oraz niekontrolowane obciążenia finansowe, które zagrażają stabilności finansowej przedsiębiorstw. Mechanizm ten może stanowić de facto dodatkową sankcję wykraczającą poza standardowe konsekwencje wprowadzenia do obrotu produktu niespełniającego wymagań, szczególnie dotkliwą dla małych i średnich przedsiębiorstw ze względu na ich ograniczone zasoby. Wątpliwości co do celowości tej zmiany potęguje dodatkowo fakt, że projekt przewiduje wprowadzenie opłaty za nadzór rynku motoryzacyjnego.</w:t>
            </w:r>
          </w:p>
        </w:tc>
        <w:tc>
          <w:tcPr>
            <w:tcW w:w="3827" w:type="dxa"/>
          </w:tcPr>
          <w:p w14:paraId="7D9D4C3F" w14:textId="20563094" w:rsidR="0059404D" w:rsidRPr="00764D7F" w:rsidRDefault="0059404D" w:rsidP="0042202B">
            <w:pPr>
              <w:rPr>
                <w:rFonts w:eastAsiaTheme="minorEastAsia" w:cstheme="minorHAnsi"/>
                <w:b/>
                <w:lang w:eastAsia="pl-PL"/>
              </w:rPr>
            </w:pPr>
            <w:r w:rsidRPr="00764D7F">
              <w:rPr>
                <w:rFonts w:eastAsiaTheme="minorEastAsia" w:cstheme="minorHAnsi"/>
                <w:b/>
                <w:lang w:eastAsia="pl-PL"/>
              </w:rPr>
              <w:t>Uwaga uwzględniona poprzez zmianę przepisu i jednoznaczne odniesienie się do procedury zniszczenia produktu i obowiązków oraz kosztów w tym zakresie.</w:t>
            </w:r>
          </w:p>
          <w:p w14:paraId="61CB2859" w14:textId="77777777" w:rsidR="0059404D" w:rsidRPr="00650E07" w:rsidRDefault="0059404D" w:rsidP="0042202B">
            <w:pPr>
              <w:rPr>
                <w:rFonts w:eastAsiaTheme="minorEastAsia" w:cstheme="minorHAnsi"/>
                <w:b/>
                <w:i/>
                <w:lang w:eastAsia="pl-PL"/>
              </w:rPr>
            </w:pPr>
          </w:p>
          <w:p w14:paraId="3EFD2CC4" w14:textId="12BA9857" w:rsidR="0059404D" w:rsidRPr="00650E07"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650E07">
              <w:rPr>
                <w:rFonts w:asciiTheme="minorHAnsi" w:hAnsiTheme="minorHAnsi" w:cstheme="minorHAnsi"/>
                <w:b/>
                <w:i/>
                <w:sz w:val="22"/>
                <w:szCs w:val="22"/>
              </w:rPr>
              <w:t>„Art. 68za. 1. W przypadku gdy przeprowadzone badania wykazały niezgodność z wymaganiami technicznymi lub stwarzanie przez pojazd, przedmiot wyposażenia lub część poważnego ryzyka, wiążące się z koniecznością ich zniszczenia, Dyrektor TDT wydaje decyzję, o której mowa w art. 53b ust. 2 pkt 3, w której  do dokonania zniszczenia zobowiązuje  podmiot gospodarczy, który wprowadził do obrotu lub udostępnił na rynku taki pojazd, przedmiot wyposażenia lub część, a w przypadku braku możliwości ustalenia tego podmiotu − dystrybutora, mającego miejsce zamieszkania lub siedzibę na terytorium Rzeczypospolitej Polskiej, który po raz pierwszy na tym terytorium udostępnił ten pojazd, przedmiot wyposażenia lub część.</w:t>
            </w:r>
          </w:p>
          <w:p w14:paraId="11AB21B7" w14:textId="77777777" w:rsidR="0059404D" w:rsidRPr="002F15C1" w:rsidRDefault="0059404D" w:rsidP="0042202B">
            <w:pPr>
              <w:pStyle w:val="ZUSTzmustartykuempunktem"/>
              <w:spacing w:line="240" w:lineRule="auto"/>
              <w:ind w:left="0" w:firstLine="0"/>
              <w:jc w:val="left"/>
              <w:rPr>
                <w:rFonts w:asciiTheme="minorHAnsi" w:hAnsiTheme="minorHAnsi" w:cstheme="minorHAnsi"/>
                <w:b/>
                <w:i/>
                <w:sz w:val="22"/>
                <w:szCs w:val="22"/>
              </w:rPr>
            </w:pPr>
            <w:r w:rsidRPr="002F15C1">
              <w:rPr>
                <w:rFonts w:asciiTheme="minorHAnsi" w:hAnsiTheme="minorHAnsi" w:cstheme="minorHAnsi"/>
                <w:b/>
                <w:i/>
                <w:sz w:val="22"/>
                <w:szCs w:val="22"/>
              </w:rPr>
              <w:t>2. Zniszczenie pojazdu, przedmiotu wyposażenia lub części, o którym mowa w ust. 1, przeprowadzane jest  w zakładzie posiadającym:</w:t>
            </w:r>
          </w:p>
          <w:p w14:paraId="6D391A08" w14:textId="6E587D4C" w:rsidR="0059404D" w:rsidRPr="002F15C1" w:rsidRDefault="0059404D" w:rsidP="0042202B">
            <w:pPr>
              <w:pStyle w:val="ZUSTzmustartykuempunktem"/>
              <w:spacing w:line="240" w:lineRule="auto"/>
              <w:ind w:left="0" w:firstLine="0"/>
              <w:jc w:val="left"/>
              <w:rPr>
                <w:rFonts w:asciiTheme="minorHAnsi" w:hAnsiTheme="minorHAnsi" w:cstheme="minorHAnsi"/>
                <w:b/>
                <w:i/>
                <w:sz w:val="22"/>
                <w:szCs w:val="22"/>
              </w:rPr>
            </w:pPr>
            <w:r w:rsidRPr="002F15C1">
              <w:rPr>
                <w:rFonts w:asciiTheme="minorHAnsi" w:hAnsiTheme="minorHAnsi" w:cstheme="minorHAnsi"/>
                <w:b/>
                <w:i/>
                <w:sz w:val="22"/>
                <w:szCs w:val="22"/>
              </w:rPr>
              <w:t>1)zezwolenie na prowadzenie stacji demontażu pojazdów, o którym mowa w ustawie z dnia 20 stycznia 2005 r. o recyklingu pojazdów wycofanych z eksploatacji (Dz. U. z 2020 r. poz. 2056), lub</w:t>
            </w:r>
          </w:p>
          <w:p w14:paraId="53E7006D" w14:textId="77777777" w:rsidR="0059404D" w:rsidRDefault="0059404D" w:rsidP="0042202B">
            <w:pPr>
              <w:pStyle w:val="ZUSTzmustartykuempunktem"/>
              <w:spacing w:line="240" w:lineRule="auto"/>
              <w:ind w:left="0" w:firstLine="0"/>
              <w:jc w:val="left"/>
              <w:rPr>
                <w:rFonts w:asciiTheme="minorHAnsi" w:hAnsiTheme="minorHAnsi" w:cstheme="minorHAnsi"/>
                <w:b/>
                <w:i/>
                <w:sz w:val="22"/>
                <w:szCs w:val="22"/>
              </w:rPr>
            </w:pPr>
            <w:r w:rsidRPr="002F15C1">
              <w:rPr>
                <w:rFonts w:asciiTheme="minorHAnsi" w:hAnsiTheme="minorHAnsi" w:cstheme="minorHAnsi"/>
                <w:b/>
                <w:i/>
                <w:sz w:val="22"/>
                <w:szCs w:val="22"/>
              </w:rPr>
              <w:t>2) inne uprawnienie wydane przez organ właściwy  w zakresie gospodarowania odpadami niebezpiecznymi.”</w:t>
            </w:r>
          </w:p>
          <w:p w14:paraId="385DC757" w14:textId="77777777" w:rsidR="0059404D" w:rsidRPr="00650E07" w:rsidRDefault="0059404D" w:rsidP="0042202B">
            <w:pPr>
              <w:pStyle w:val="ZUSTzmustartykuempunktem"/>
              <w:spacing w:line="240" w:lineRule="auto"/>
              <w:ind w:left="0" w:firstLine="0"/>
              <w:jc w:val="left"/>
              <w:rPr>
                <w:rFonts w:asciiTheme="minorHAnsi" w:hAnsiTheme="minorHAnsi" w:cstheme="minorHAnsi"/>
                <w:b/>
                <w:i/>
                <w:sz w:val="22"/>
                <w:szCs w:val="22"/>
              </w:rPr>
            </w:pPr>
          </w:p>
          <w:p w14:paraId="3E59C467" w14:textId="77777777" w:rsidR="0059404D" w:rsidRPr="00650E07" w:rsidRDefault="0059404D" w:rsidP="0042202B">
            <w:pPr>
              <w:pStyle w:val="ZUSTzmustartykuempunktem"/>
              <w:spacing w:line="240" w:lineRule="auto"/>
              <w:ind w:left="0" w:firstLine="0"/>
              <w:jc w:val="left"/>
              <w:rPr>
                <w:rFonts w:asciiTheme="minorHAnsi" w:hAnsiTheme="minorHAnsi" w:cstheme="minorHAnsi"/>
                <w:b/>
                <w:i/>
                <w:sz w:val="22"/>
                <w:szCs w:val="22"/>
              </w:rPr>
            </w:pPr>
          </w:p>
          <w:p w14:paraId="084FC75E" w14:textId="77777777" w:rsidR="0059404D" w:rsidRPr="00650E07" w:rsidRDefault="0059404D" w:rsidP="0042202B">
            <w:pPr>
              <w:autoSpaceDE w:val="0"/>
              <w:autoSpaceDN w:val="0"/>
              <w:adjustRightInd w:val="0"/>
              <w:rPr>
                <w:rFonts w:eastAsiaTheme="minorEastAsia" w:cstheme="minorHAnsi"/>
                <w:b/>
                <w:lang w:eastAsia="pl-PL"/>
              </w:rPr>
            </w:pPr>
            <w:r w:rsidRPr="00650E07">
              <w:rPr>
                <w:rFonts w:eastAsiaTheme="minorEastAsia" w:cstheme="minorHAnsi"/>
                <w:b/>
                <w:lang w:eastAsia="pl-PL"/>
              </w:rPr>
              <w:t xml:space="preserve">Przepis art. 33 projektu MRiT UC45: </w:t>
            </w:r>
          </w:p>
          <w:p w14:paraId="3C7CC4E8" w14:textId="5CDF9479" w:rsidR="0059404D" w:rsidRPr="00650E07" w:rsidRDefault="0059404D" w:rsidP="0042202B">
            <w:pPr>
              <w:autoSpaceDE w:val="0"/>
              <w:autoSpaceDN w:val="0"/>
              <w:adjustRightInd w:val="0"/>
              <w:rPr>
                <w:rFonts w:eastAsiaTheme="minorEastAsia" w:cstheme="minorHAnsi"/>
                <w:b/>
                <w:i/>
                <w:lang w:eastAsia="pl-PL"/>
              </w:rPr>
            </w:pPr>
            <w:r>
              <w:rPr>
                <w:rFonts w:eastAsiaTheme="minorEastAsia" w:cstheme="minorHAnsi"/>
                <w:b/>
                <w:i/>
                <w:lang w:eastAsia="pl-PL"/>
              </w:rPr>
              <w:t>„</w:t>
            </w:r>
            <w:r w:rsidRPr="00650E07">
              <w:rPr>
                <w:rFonts w:eastAsiaTheme="minorEastAsia" w:cstheme="minorHAnsi"/>
                <w:b/>
                <w:i/>
                <w:lang w:eastAsia="pl-PL"/>
              </w:rPr>
              <w:t>Art. 33. 1. Jeżeli przeprowadzone badania wykazały niezgodność produktu</w:t>
            </w:r>
          </w:p>
          <w:p w14:paraId="60260757" w14:textId="666667CA" w:rsidR="0059404D" w:rsidRPr="00650E07" w:rsidRDefault="0059404D" w:rsidP="0042202B">
            <w:pPr>
              <w:autoSpaceDE w:val="0"/>
              <w:autoSpaceDN w:val="0"/>
              <w:adjustRightInd w:val="0"/>
              <w:rPr>
                <w:rFonts w:eastAsiaTheme="minorEastAsia" w:cstheme="minorHAnsi"/>
                <w:b/>
                <w:i/>
                <w:lang w:eastAsia="pl-PL"/>
              </w:rPr>
            </w:pPr>
            <w:r w:rsidRPr="00650E07">
              <w:rPr>
                <w:rFonts w:eastAsiaTheme="minorEastAsia" w:cstheme="minorHAnsi"/>
                <w:b/>
                <w:i/>
                <w:lang w:eastAsia="pl-PL"/>
              </w:rPr>
              <w:t>z wymaganiami lub stwarzanie przez produkt ryzyka, obowiązanym do uiszczenia opłaty</w:t>
            </w:r>
            <w:r>
              <w:rPr>
                <w:rFonts w:eastAsiaTheme="minorEastAsia" w:cstheme="minorHAnsi"/>
                <w:b/>
                <w:i/>
                <w:lang w:eastAsia="pl-PL"/>
              </w:rPr>
              <w:t xml:space="preserve"> </w:t>
            </w:r>
            <w:r w:rsidRPr="00650E07">
              <w:rPr>
                <w:rFonts w:eastAsiaTheme="minorEastAsia" w:cstheme="minorHAnsi"/>
                <w:b/>
                <w:i/>
                <w:lang w:eastAsia="pl-PL"/>
              </w:rPr>
              <w:t>stanowiącej równowartość kosztów przeprowadzanych badań jest:</w:t>
            </w:r>
          </w:p>
          <w:p w14:paraId="756DA07D" w14:textId="3FD2FF37" w:rsidR="0059404D" w:rsidRPr="00650E07" w:rsidRDefault="0059404D" w:rsidP="0042202B">
            <w:pPr>
              <w:autoSpaceDE w:val="0"/>
              <w:autoSpaceDN w:val="0"/>
              <w:adjustRightInd w:val="0"/>
              <w:rPr>
                <w:rFonts w:eastAsiaTheme="minorEastAsia" w:cstheme="minorHAnsi"/>
                <w:b/>
                <w:i/>
                <w:lang w:eastAsia="pl-PL"/>
              </w:rPr>
            </w:pPr>
            <w:r w:rsidRPr="00650E07">
              <w:rPr>
                <w:rFonts w:eastAsiaTheme="minorEastAsia" w:cstheme="minorHAnsi"/>
                <w:b/>
                <w:i/>
                <w:lang w:eastAsia="pl-PL"/>
              </w:rPr>
              <w:t>1) podmiot gospodarczy, który wprowadził produkt do obrotu lub udostępnił na rynku,a w przypadku braku możliwości ustalenia tego podmiotu, dystrybutor mający miejsce</w:t>
            </w:r>
            <w:r>
              <w:rPr>
                <w:rFonts w:eastAsiaTheme="minorEastAsia" w:cstheme="minorHAnsi"/>
                <w:b/>
                <w:i/>
                <w:lang w:eastAsia="pl-PL"/>
              </w:rPr>
              <w:t xml:space="preserve"> </w:t>
            </w:r>
            <w:r w:rsidRPr="00650E07">
              <w:rPr>
                <w:rFonts w:eastAsiaTheme="minorEastAsia" w:cstheme="minorHAnsi"/>
                <w:b/>
                <w:i/>
                <w:lang w:eastAsia="pl-PL"/>
              </w:rPr>
              <w:t>zamieszkania lub siedzibę na terytorium Rzeczypospolitej Polskiej, który po raz pierwszy</w:t>
            </w:r>
            <w:r>
              <w:rPr>
                <w:rFonts w:eastAsiaTheme="minorEastAsia" w:cstheme="minorHAnsi"/>
                <w:b/>
                <w:i/>
                <w:lang w:eastAsia="pl-PL"/>
              </w:rPr>
              <w:t xml:space="preserve"> </w:t>
            </w:r>
            <w:r w:rsidRPr="00650E07">
              <w:rPr>
                <w:rFonts w:eastAsiaTheme="minorEastAsia" w:cstheme="minorHAnsi"/>
                <w:b/>
                <w:i/>
                <w:lang w:eastAsia="pl-PL"/>
              </w:rPr>
              <w:t>na tym terytorium udostępnił produkt;</w:t>
            </w:r>
          </w:p>
          <w:p w14:paraId="2BCB5CCA" w14:textId="070EBD97" w:rsidR="0059404D" w:rsidRPr="00650E07" w:rsidRDefault="0059404D" w:rsidP="0042202B">
            <w:pPr>
              <w:autoSpaceDE w:val="0"/>
              <w:autoSpaceDN w:val="0"/>
              <w:adjustRightInd w:val="0"/>
              <w:rPr>
                <w:rFonts w:eastAsiaTheme="minorEastAsia" w:cstheme="minorHAnsi"/>
                <w:b/>
                <w:i/>
                <w:lang w:eastAsia="pl-PL"/>
              </w:rPr>
            </w:pPr>
            <w:r w:rsidRPr="00650E07">
              <w:rPr>
                <w:rFonts w:eastAsiaTheme="minorEastAsia" w:cstheme="minorHAnsi"/>
                <w:b/>
                <w:i/>
                <w:lang w:eastAsia="pl-PL"/>
              </w:rPr>
              <w:t>2) importer − w przypadku produktów objętych procedurą celną dopuszczenia do obrotu.</w:t>
            </w:r>
          </w:p>
          <w:p w14:paraId="33B377F7" w14:textId="77777777" w:rsidR="0059404D" w:rsidRPr="00650E07" w:rsidRDefault="0059404D" w:rsidP="0042202B">
            <w:pPr>
              <w:autoSpaceDE w:val="0"/>
              <w:autoSpaceDN w:val="0"/>
              <w:adjustRightInd w:val="0"/>
              <w:rPr>
                <w:rFonts w:eastAsiaTheme="minorEastAsia" w:cstheme="minorHAnsi"/>
                <w:b/>
                <w:i/>
                <w:u w:val="single"/>
                <w:lang w:eastAsia="pl-PL"/>
              </w:rPr>
            </w:pPr>
            <w:r w:rsidRPr="00650E07">
              <w:rPr>
                <w:rFonts w:eastAsiaTheme="minorEastAsia" w:cstheme="minorHAnsi"/>
                <w:b/>
                <w:i/>
                <w:u w:val="single"/>
                <w:lang w:eastAsia="pl-PL"/>
              </w:rPr>
              <w:t>2. Do kosztów badań, o których mowa w ust. 1, zalicza się koszty badań zleconych</w:t>
            </w:r>
          </w:p>
          <w:p w14:paraId="0436F75C" w14:textId="77777777" w:rsidR="0059404D" w:rsidRDefault="0059404D" w:rsidP="0042202B">
            <w:pPr>
              <w:pStyle w:val="ZUSTzmustartykuempunktem"/>
              <w:spacing w:line="240" w:lineRule="auto"/>
              <w:ind w:left="0" w:firstLine="0"/>
              <w:jc w:val="left"/>
              <w:rPr>
                <w:rFonts w:asciiTheme="minorHAnsi" w:hAnsiTheme="minorHAnsi" w:cstheme="minorHAnsi"/>
                <w:b/>
                <w:i/>
                <w:sz w:val="22"/>
                <w:szCs w:val="22"/>
                <w:u w:val="single"/>
              </w:rPr>
            </w:pPr>
            <w:r w:rsidRPr="00650E07">
              <w:rPr>
                <w:rFonts w:asciiTheme="minorHAnsi" w:hAnsiTheme="minorHAnsi" w:cstheme="minorHAnsi"/>
                <w:b/>
                <w:i/>
                <w:sz w:val="22"/>
                <w:szCs w:val="22"/>
                <w:u w:val="single"/>
              </w:rPr>
              <w:t>zgodnie z ust. 1, oraz koszty transportu, przechowywania próbki i utylizacji.”</w:t>
            </w:r>
          </w:p>
          <w:p w14:paraId="03955047" w14:textId="47618BA4" w:rsidR="0059404D" w:rsidRPr="00650E07" w:rsidRDefault="0059404D" w:rsidP="0042202B">
            <w:pPr>
              <w:pStyle w:val="ZUSTzmustartykuempunktem"/>
              <w:spacing w:line="240" w:lineRule="auto"/>
              <w:ind w:left="0" w:firstLine="0"/>
              <w:jc w:val="left"/>
              <w:rPr>
                <w:rFonts w:asciiTheme="minorHAnsi" w:hAnsiTheme="minorHAnsi" w:cstheme="minorHAnsi"/>
                <w:b/>
                <w:i/>
                <w:sz w:val="22"/>
                <w:szCs w:val="22"/>
              </w:rPr>
            </w:pPr>
          </w:p>
        </w:tc>
        <w:tc>
          <w:tcPr>
            <w:tcW w:w="3686" w:type="dxa"/>
          </w:tcPr>
          <w:p w14:paraId="0F5672A1" w14:textId="77777777" w:rsidR="001010BE" w:rsidRDefault="00A15299" w:rsidP="0042202B">
            <w:pPr>
              <w:rPr>
                <w:rFonts w:cstheme="minorHAnsi"/>
                <w:b/>
              </w:rPr>
            </w:pPr>
            <w:r>
              <w:rPr>
                <w:rFonts w:cstheme="minorHAnsi"/>
                <w:b/>
              </w:rPr>
              <w:t xml:space="preserve">Akceptacja </w:t>
            </w:r>
          </w:p>
          <w:p w14:paraId="5C8EA023" w14:textId="77777777" w:rsidR="001010BE" w:rsidRDefault="001010BE" w:rsidP="0042202B">
            <w:pPr>
              <w:rPr>
                <w:rFonts w:eastAsiaTheme="minorEastAsia" w:cstheme="minorHAnsi"/>
                <w:b/>
                <w:lang w:eastAsia="pl-PL"/>
              </w:rPr>
            </w:pPr>
          </w:p>
          <w:p w14:paraId="66A25939" w14:textId="7B6FC685" w:rsidR="001010BE" w:rsidRDefault="001010BE" w:rsidP="0042202B">
            <w:pPr>
              <w:rPr>
                <w:rFonts w:cstheme="minorHAnsi"/>
                <w:b/>
                <w:color w:val="0070C0"/>
              </w:rPr>
            </w:pPr>
            <w:r w:rsidRPr="000C69F1">
              <w:rPr>
                <w:rFonts w:cstheme="minorHAnsi"/>
                <w:b/>
                <w:color w:val="0070C0"/>
              </w:rPr>
              <w:t>W wyniku uwag oraz spotkania roboczego  z MRiT wprowadzono zmiany w rozdziale 4b Nadzór rynku – zgodnie z ustaleniami z tego spotkania</w:t>
            </w:r>
            <w:r>
              <w:rPr>
                <w:rFonts w:cstheme="minorHAnsi"/>
                <w:b/>
                <w:color w:val="0070C0"/>
              </w:rPr>
              <w:t xml:space="preserve">, w tym w zakresie kosztów zniszczenia – art. 68zs ust. 10 i 11. </w:t>
            </w:r>
          </w:p>
          <w:p w14:paraId="4C03E6A3" w14:textId="4CB3C804" w:rsidR="00FA0702" w:rsidRDefault="00FA0702" w:rsidP="0042202B">
            <w:pPr>
              <w:rPr>
                <w:rFonts w:cstheme="minorHAnsi"/>
                <w:b/>
                <w:color w:val="0070C0"/>
              </w:rPr>
            </w:pPr>
          </w:p>
          <w:p w14:paraId="58CED197" w14:textId="26EB1733" w:rsidR="00FA0702" w:rsidRPr="000E76C9" w:rsidRDefault="00FA0702" w:rsidP="0042202B">
            <w:pPr>
              <w:rPr>
                <w:rFonts w:cstheme="minorHAnsi"/>
                <w:b/>
                <w:color w:val="0070C0"/>
                <w:u w:val="single"/>
              </w:rPr>
            </w:pPr>
            <w:r w:rsidRPr="000E76C9">
              <w:rPr>
                <w:rFonts w:cstheme="minorHAnsi"/>
                <w:b/>
                <w:color w:val="0070C0"/>
                <w:u w:val="single"/>
              </w:rPr>
              <w:t xml:space="preserve">Analogicznie jak pkt 34. </w:t>
            </w:r>
          </w:p>
          <w:p w14:paraId="7BC4E82B" w14:textId="02784F80" w:rsidR="0059404D" w:rsidRPr="00764D7F" w:rsidRDefault="00CB529C" w:rsidP="0042202B">
            <w:pPr>
              <w:rPr>
                <w:rFonts w:eastAsiaTheme="minorEastAsia" w:cstheme="minorHAnsi"/>
                <w:b/>
                <w:lang w:eastAsia="pl-PL"/>
              </w:rPr>
            </w:pPr>
            <w:r>
              <w:rPr>
                <w:rFonts w:eastAsiaTheme="minorEastAsia" w:cstheme="minorHAnsi"/>
                <w:b/>
                <w:lang w:eastAsia="pl-PL"/>
              </w:rPr>
              <w:t xml:space="preserve"> </w:t>
            </w:r>
          </w:p>
        </w:tc>
      </w:tr>
      <w:tr w:rsidR="0059404D" w:rsidRPr="00F515D6" w14:paraId="3E0CAF2B" w14:textId="4C0BA25F" w:rsidTr="00D76FE7">
        <w:tc>
          <w:tcPr>
            <w:tcW w:w="562" w:type="dxa"/>
          </w:tcPr>
          <w:p w14:paraId="271224DE" w14:textId="77777777" w:rsidR="0059404D" w:rsidRPr="00B5406A" w:rsidRDefault="0059404D" w:rsidP="0042202B">
            <w:pPr>
              <w:rPr>
                <w:rFonts w:cstheme="minorHAnsi"/>
                <w:b/>
              </w:rPr>
            </w:pPr>
            <w:r w:rsidRPr="00B5406A">
              <w:rPr>
                <w:rFonts w:cstheme="minorHAnsi"/>
                <w:b/>
              </w:rPr>
              <w:t>38</w:t>
            </w:r>
          </w:p>
        </w:tc>
        <w:tc>
          <w:tcPr>
            <w:tcW w:w="993" w:type="dxa"/>
          </w:tcPr>
          <w:p w14:paraId="7E1D2479" w14:textId="77777777" w:rsidR="0059404D" w:rsidRPr="00B5406A" w:rsidRDefault="0059404D" w:rsidP="0042202B">
            <w:pPr>
              <w:rPr>
                <w:rFonts w:cstheme="minorHAnsi"/>
                <w:b/>
              </w:rPr>
            </w:pPr>
            <w:r w:rsidRPr="00B5406A">
              <w:rPr>
                <w:rFonts w:cstheme="minorHAnsi"/>
                <w:b/>
              </w:rPr>
              <w:t>MFiG (MRiT)</w:t>
            </w:r>
          </w:p>
        </w:tc>
        <w:tc>
          <w:tcPr>
            <w:tcW w:w="1701" w:type="dxa"/>
          </w:tcPr>
          <w:p w14:paraId="3F0D2F44" w14:textId="77777777" w:rsidR="0059404D" w:rsidRPr="00B5406A" w:rsidRDefault="0059404D" w:rsidP="0042202B">
            <w:pPr>
              <w:rPr>
                <w:rFonts w:cstheme="minorHAnsi"/>
                <w:b/>
              </w:rPr>
            </w:pPr>
            <w:r w:rsidRPr="00B5406A">
              <w:rPr>
                <w:rFonts w:cstheme="minorHAnsi"/>
                <w:b/>
              </w:rPr>
              <w:t>Art. 68zi ust. 5 UH (żądanie nieodpłatnego dostarczenia produktów)</w:t>
            </w:r>
          </w:p>
        </w:tc>
        <w:tc>
          <w:tcPr>
            <w:tcW w:w="5953" w:type="dxa"/>
          </w:tcPr>
          <w:p w14:paraId="2C7C29FF" w14:textId="500B9AC8" w:rsidR="0059404D" w:rsidRPr="00B5406A" w:rsidRDefault="0059404D" w:rsidP="0042202B">
            <w:pPr>
              <w:rPr>
                <w:rFonts w:cstheme="minorHAnsi"/>
                <w:b/>
              </w:rPr>
            </w:pPr>
            <w:r w:rsidRPr="00B5406A">
              <w:rPr>
                <w:rFonts w:cstheme="minorHAnsi"/>
                <w:b/>
              </w:rPr>
              <w:t>Art. 68zi ust. 5 uprawnia Dyrektora TDT do żądania od kontrolowanego, który oferuje pojazdy lub części do sprzedaży na odległość, nieodpłatnego dostarczenia tych produktów w ilościach niezbędnych do badań laboratoryjnych. Dodatkowo, nie przewiduje zwrotu wartości samego produktu zużytego lub zniszczonego w procesie badań (art. 68zj ust. 2, 8). Konsekwencją jest nałożenie na przedsiębiorcę bezzwrotnego, dodatkowego obciążenia finansowego w postaci utraty wartości samego produktu użytego do testów.</w:t>
            </w:r>
          </w:p>
        </w:tc>
        <w:tc>
          <w:tcPr>
            <w:tcW w:w="3827" w:type="dxa"/>
          </w:tcPr>
          <w:p w14:paraId="02454411" w14:textId="259264CD" w:rsidR="0059404D" w:rsidRDefault="0059404D" w:rsidP="0042202B">
            <w:pPr>
              <w:rPr>
                <w:rFonts w:cstheme="minorHAnsi"/>
                <w:b/>
              </w:rPr>
            </w:pPr>
            <w:r w:rsidRPr="002A4B01">
              <w:rPr>
                <w:rFonts w:cstheme="minorHAnsi"/>
                <w:b/>
              </w:rPr>
              <w:t xml:space="preserve">Uwaga wyjaśniona -  </w:t>
            </w:r>
            <w:r>
              <w:rPr>
                <w:rFonts w:cstheme="minorHAnsi"/>
                <w:b/>
              </w:rPr>
              <w:t>p</w:t>
            </w:r>
            <w:r w:rsidRPr="002A4B01">
              <w:rPr>
                <w:rFonts w:cstheme="minorHAnsi"/>
                <w:b/>
              </w:rPr>
              <w:t>rzepis został zaprojektowany na podstawie art. 69 ust. 1 pkt 8 i art. 72 ust. 2 ustawy z dnia 13 kwietnia 2016 r. o systemach oceny zgodności i nadzoru rynku</w:t>
            </w:r>
            <w:r>
              <w:rPr>
                <w:rFonts w:cstheme="minorHAnsi"/>
                <w:b/>
              </w:rPr>
              <w:t xml:space="preserve"> (Dz. U. z 2025 r. poz. 568)</w:t>
            </w:r>
            <w:r w:rsidRPr="002A4B01">
              <w:rPr>
                <w:rFonts w:cstheme="minorHAnsi"/>
                <w:b/>
              </w:rPr>
              <w:t xml:space="preserve">, w których określono, że organ nadzoru rynku jest uprawniony do pobierania nieodpłatnie </w:t>
            </w:r>
            <w:r>
              <w:rPr>
                <w:rFonts w:cstheme="minorHAnsi"/>
                <w:b/>
              </w:rPr>
              <w:t xml:space="preserve">próbek </w:t>
            </w:r>
            <w:r w:rsidRPr="002A4B01">
              <w:rPr>
                <w:rFonts w:cstheme="minorHAnsi"/>
                <w:b/>
              </w:rPr>
              <w:t>wyrobów do badań. Ustawodawcy zależało, żeby pod tym względem wszystkie organy nadzoru rynku posługiwały się takimi samymi uprawnieniami. Rozwiązanie takie jest zgodne z ogólnie obowiązującymi w Polsce zasadami dot. nadzoru rynku.</w:t>
            </w:r>
          </w:p>
          <w:p w14:paraId="2F390599" w14:textId="39988551" w:rsidR="0059404D" w:rsidRDefault="0059404D" w:rsidP="0042202B">
            <w:pPr>
              <w:rPr>
                <w:rFonts w:cstheme="minorHAnsi"/>
                <w:b/>
              </w:rPr>
            </w:pPr>
          </w:p>
          <w:p w14:paraId="2B3F39E3" w14:textId="508145A1" w:rsidR="0059404D" w:rsidRPr="00B5406A" w:rsidRDefault="0059404D" w:rsidP="0042202B">
            <w:pPr>
              <w:rPr>
                <w:rFonts w:cstheme="minorHAnsi"/>
                <w:b/>
                <w:i/>
              </w:rPr>
            </w:pPr>
            <w:r>
              <w:rPr>
                <w:rFonts w:cstheme="minorHAnsi"/>
                <w:b/>
                <w:i/>
              </w:rPr>
              <w:t>„</w:t>
            </w:r>
            <w:r w:rsidRPr="00B5406A">
              <w:rPr>
                <w:rFonts w:cstheme="minorHAnsi"/>
                <w:b/>
                <w:i/>
              </w:rPr>
              <w:t>Art. 69. 1. W toku kontroli osoba kontrolująca, w zakresie objętym kontrolą, ma prawo w szczególności:</w:t>
            </w:r>
          </w:p>
          <w:p w14:paraId="271BBBD9" w14:textId="2BDF12CD" w:rsidR="0059404D" w:rsidRPr="00B5406A" w:rsidRDefault="0059404D" w:rsidP="0042202B">
            <w:pPr>
              <w:rPr>
                <w:rFonts w:cstheme="minorHAnsi"/>
                <w:b/>
                <w:i/>
              </w:rPr>
            </w:pPr>
            <w:r w:rsidRPr="00B5406A">
              <w:rPr>
                <w:rFonts w:cstheme="minorHAnsi"/>
                <w:b/>
                <w:i/>
              </w:rPr>
              <w:t>8) pobierać nieodpłatnie próbki wyrobów do badań;</w:t>
            </w:r>
            <w:r>
              <w:rPr>
                <w:rFonts w:cstheme="minorHAnsi"/>
                <w:b/>
                <w:i/>
              </w:rPr>
              <w:t>”</w:t>
            </w:r>
          </w:p>
          <w:p w14:paraId="4FFE43DE" w14:textId="77777777" w:rsidR="0059404D" w:rsidRDefault="0059404D" w:rsidP="0042202B">
            <w:pPr>
              <w:rPr>
                <w:rFonts w:cstheme="minorHAnsi"/>
                <w:b/>
                <w:i/>
              </w:rPr>
            </w:pPr>
            <w:r>
              <w:rPr>
                <w:rFonts w:cstheme="minorHAnsi"/>
                <w:b/>
                <w:i/>
              </w:rPr>
              <w:t>„Art. 72.</w:t>
            </w:r>
            <w:r w:rsidRPr="00B5406A">
              <w:rPr>
                <w:rFonts w:cstheme="minorHAnsi"/>
                <w:b/>
                <w:i/>
              </w:rPr>
              <w:t>3. Równocześnie z pobraniem próbki wyrobu należy pobrać i zabezpieczyć dodatkową próbkę w ilości odpowiadającej ilości pobranej do badań, zwanej dalej „próbką kontrolną”.</w:t>
            </w:r>
            <w:r>
              <w:rPr>
                <w:rFonts w:cstheme="minorHAnsi"/>
                <w:b/>
                <w:i/>
              </w:rPr>
              <w:t>”</w:t>
            </w:r>
          </w:p>
          <w:p w14:paraId="730B80D4" w14:textId="77777777" w:rsidR="0059404D" w:rsidRDefault="0059404D" w:rsidP="0042202B">
            <w:pPr>
              <w:rPr>
                <w:rFonts w:cstheme="minorHAnsi"/>
                <w:b/>
                <w:i/>
              </w:rPr>
            </w:pPr>
          </w:p>
          <w:p w14:paraId="4D5BD1F3" w14:textId="71081811" w:rsidR="0059404D" w:rsidRDefault="0059404D" w:rsidP="0042202B">
            <w:pPr>
              <w:rPr>
                <w:rFonts w:cstheme="minorHAnsi"/>
                <w:b/>
              </w:rPr>
            </w:pPr>
            <w:r>
              <w:rPr>
                <w:rFonts w:cstheme="minorHAnsi"/>
                <w:b/>
              </w:rPr>
              <w:t>Projektowany przez MRiT projekt UC45 również zawiera podobne rozwiązanie:</w:t>
            </w:r>
          </w:p>
          <w:p w14:paraId="3263E9CA" w14:textId="6754D417" w:rsidR="0059404D" w:rsidRPr="00424C8A" w:rsidRDefault="0059404D" w:rsidP="0042202B">
            <w:pPr>
              <w:autoSpaceDE w:val="0"/>
              <w:autoSpaceDN w:val="0"/>
              <w:adjustRightInd w:val="0"/>
              <w:rPr>
                <w:rFonts w:cstheme="minorHAnsi"/>
                <w:b/>
                <w:i/>
              </w:rPr>
            </w:pPr>
            <w:r w:rsidRPr="00424C8A">
              <w:rPr>
                <w:rFonts w:cstheme="minorHAnsi"/>
                <w:b/>
                <w:i/>
              </w:rPr>
              <w:t>„Art. 19. 1. Organ nadzoru rynku może zażądać od kontrolowanego, który oferuje produkt</w:t>
            </w:r>
            <w:r>
              <w:rPr>
                <w:rFonts w:cstheme="minorHAnsi"/>
                <w:b/>
                <w:i/>
              </w:rPr>
              <w:t xml:space="preserve"> </w:t>
            </w:r>
            <w:r w:rsidRPr="00424C8A">
              <w:rPr>
                <w:rFonts w:cstheme="minorHAnsi"/>
                <w:b/>
                <w:i/>
              </w:rPr>
              <w:t>do sprzedaży na odległość, nieodpłatnego dostarczenia próbki tego produktu oraz próbki</w:t>
            </w:r>
            <w:r>
              <w:rPr>
                <w:rFonts w:cstheme="minorHAnsi"/>
                <w:b/>
                <w:i/>
              </w:rPr>
              <w:t xml:space="preserve"> </w:t>
            </w:r>
            <w:r w:rsidRPr="00424C8A">
              <w:rPr>
                <w:rFonts w:cstheme="minorHAnsi"/>
                <w:b/>
                <w:i/>
              </w:rPr>
              <w:t>kontrolnej w celu ustalenia czy produkt jest zgodny z wymaganiami lub czy stwarza ryzyko.”</w:t>
            </w:r>
          </w:p>
        </w:tc>
        <w:tc>
          <w:tcPr>
            <w:tcW w:w="3686" w:type="dxa"/>
          </w:tcPr>
          <w:p w14:paraId="7560EDF3" w14:textId="6B5F3B2D" w:rsidR="0059404D" w:rsidRPr="002A4B01" w:rsidRDefault="00A15299" w:rsidP="0042202B">
            <w:pPr>
              <w:rPr>
                <w:rFonts w:cstheme="minorHAnsi"/>
                <w:b/>
              </w:rPr>
            </w:pPr>
            <w:r>
              <w:rPr>
                <w:rFonts w:cstheme="minorHAnsi"/>
                <w:b/>
              </w:rPr>
              <w:t xml:space="preserve">Akceptacja </w:t>
            </w:r>
            <w:r w:rsidR="00CB529C">
              <w:rPr>
                <w:rFonts w:cstheme="minorHAnsi"/>
                <w:b/>
              </w:rPr>
              <w:t xml:space="preserve"> </w:t>
            </w:r>
          </w:p>
        </w:tc>
      </w:tr>
      <w:tr w:rsidR="0059404D" w:rsidRPr="00F515D6" w14:paraId="3E215DE5" w14:textId="22958282" w:rsidTr="00D76FE7">
        <w:tc>
          <w:tcPr>
            <w:tcW w:w="562" w:type="dxa"/>
          </w:tcPr>
          <w:p w14:paraId="07A8D4B9" w14:textId="77777777" w:rsidR="0059404D" w:rsidRPr="00A37B7E" w:rsidRDefault="0059404D" w:rsidP="0042202B">
            <w:pPr>
              <w:rPr>
                <w:rFonts w:cstheme="minorHAnsi"/>
                <w:b/>
              </w:rPr>
            </w:pPr>
            <w:r w:rsidRPr="00A37B7E">
              <w:rPr>
                <w:rFonts w:cstheme="minorHAnsi"/>
                <w:b/>
              </w:rPr>
              <w:t>39</w:t>
            </w:r>
          </w:p>
        </w:tc>
        <w:tc>
          <w:tcPr>
            <w:tcW w:w="993" w:type="dxa"/>
          </w:tcPr>
          <w:p w14:paraId="63C724C0" w14:textId="77777777" w:rsidR="0059404D" w:rsidRDefault="0059404D" w:rsidP="0042202B">
            <w:pPr>
              <w:rPr>
                <w:rFonts w:cstheme="minorHAnsi"/>
                <w:b/>
              </w:rPr>
            </w:pPr>
            <w:r w:rsidRPr="00A37B7E">
              <w:rPr>
                <w:rFonts w:cstheme="minorHAnsi"/>
                <w:b/>
              </w:rPr>
              <w:t>MFiG (MRiT)</w:t>
            </w:r>
          </w:p>
          <w:p w14:paraId="62FBD4CC" w14:textId="77777777" w:rsidR="0059404D" w:rsidRDefault="0059404D" w:rsidP="0042202B">
            <w:pPr>
              <w:rPr>
                <w:rFonts w:cstheme="minorHAnsi"/>
                <w:b/>
              </w:rPr>
            </w:pPr>
          </w:p>
          <w:p w14:paraId="0A5DF559" w14:textId="77777777" w:rsidR="0059404D" w:rsidRDefault="0059404D" w:rsidP="0042202B">
            <w:pPr>
              <w:rPr>
                <w:rFonts w:cstheme="minorHAnsi"/>
                <w:b/>
                <w:color w:val="00B050"/>
              </w:rPr>
            </w:pPr>
            <w:r>
              <w:rPr>
                <w:rFonts w:cstheme="minorHAnsi"/>
                <w:b/>
                <w:color w:val="00B050"/>
              </w:rPr>
              <w:t>+uwaga 25 RCL w zakresie nowej opłaty</w:t>
            </w:r>
          </w:p>
          <w:p w14:paraId="1DCB76CE" w14:textId="77777777" w:rsidR="0059404D" w:rsidRDefault="0059404D" w:rsidP="0042202B">
            <w:pPr>
              <w:rPr>
                <w:rFonts w:cstheme="minorHAnsi"/>
                <w:b/>
                <w:color w:val="00B050"/>
              </w:rPr>
            </w:pPr>
          </w:p>
          <w:p w14:paraId="7B4AF449" w14:textId="77777777" w:rsidR="0059404D" w:rsidRDefault="0059404D" w:rsidP="0042202B">
            <w:pPr>
              <w:rPr>
                <w:rFonts w:cstheme="minorHAnsi"/>
                <w:b/>
                <w:color w:val="00B050"/>
              </w:rPr>
            </w:pPr>
            <w:r>
              <w:rPr>
                <w:rFonts w:cstheme="minorHAnsi"/>
                <w:b/>
                <w:color w:val="00B050"/>
              </w:rPr>
              <w:t>+ uwaga 96-99 MFiG</w:t>
            </w:r>
          </w:p>
          <w:p w14:paraId="2D05D695" w14:textId="77777777" w:rsidR="0059404D" w:rsidRDefault="0059404D" w:rsidP="0042202B">
            <w:pPr>
              <w:rPr>
                <w:rFonts w:cstheme="minorHAnsi"/>
                <w:b/>
                <w:color w:val="00B050"/>
              </w:rPr>
            </w:pPr>
          </w:p>
          <w:p w14:paraId="72F57759" w14:textId="0894BD0C" w:rsidR="0059404D" w:rsidRPr="007B4045" w:rsidRDefault="0059404D" w:rsidP="0042202B">
            <w:pPr>
              <w:rPr>
                <w:rFonts w:cstheme="minorHAnsi"/>
                <w:b/>
                <w:color w:val="00B050"/>
              </w:rPr>
            </w:pPr>
            <w:r>
              <w:rPr>
                <w:rFonts w:cstheme="minorHAnsi"/>
                <w:b/>
                <w:color w:val="00B050"/>
              </w:rPr>
              <w:t>+uwaga 129 MSZ</w:t>
            </w:r>
          </w:p>
        </w:tc>
        <w:tc>
          <w:tcPr>
            <w:tcW w:w="1701" w:type="dxa"/>
          </w:tcPr>
          <w:p w14:paraId="4DF08FBC" w14:textId="77777777" w:rsidR="0059404D" w:rsidRPr="00A37B7E" w:rsidRDefault="0059404D" w:rsidP="0042202B">
            <w:pPr>
              <w:rPr>
                <w:rFonts w:cstheme="minorHAnsi"/>
                <w:b/>
              </w:rPr>
            </w:pPr>
            <w:r w:rsidRPr="00A37B7E">
              <w:rPr>
                <w:rFonts w:cstheme="minorHAnsi"/>
                <w:b/>
              </w:rPr>
              <w:t>Art. 68zk ust. 6 UH (opłata za nadzór rynku motoryzacyjnego)</w:t>
            </w:r>
          </w:p>
        </w:tc>
        <w:tc>
          <w:tcPr>
            <w:tcW w:w="5953" w:type="dxa"/>
          </w:tcPr>
          <w:p w14:paraId="20C7099F" w14:textId="77777777" w:rsidR="0059404D" w:rsidRPr="00A37B7E" w:rsidRDefault="0059404D" w:rsidP="0042202B">
            <w:pPr>
              <w:rPr>
                <w:rFonts w:cstheme="minorHAnsi"/>
                <w:b/>
              </w:rPr>
            </w:pPr>
            <w:r w:rsidRPr="00A37B7E">
              <w:rPr>
                <w:rFonts w:cstheme="minorHAnsi"/>
                <w:b/>
              </w:rPr>
              <w:t xml:space="preserve">Projekt ustawy wprowadza obowiązkową opłatę za nadzór rynku motoryzacyjnego, która jest naliczana jako procent ceny netto pojazdów wprowadzonych do obrotu. Stawka ta wynosi 0,2% dla pojazdów wyprodukowanych przez producentów mających siedzibę w UE lub posiadających tam zakład produkcyjny, natomiast wzrasta do 1% dla pojazdów pochodzących spoza UE i producentów objętych ostatecznym cłem wyrównawczym. </w:t>
            </w:r>
          </w:p>
          <w:p w14:paraId="0EC8E8F0" w14:textId="7F90FEBF" w:rsidR="0059404D" w:rsidRPr="00A37B7E" w:rsidRDefault="0059404D" w:rsidP="0042202B">
            <w:pPr>
              <w:rPr>
                <w:rFonts w:cstheme="minorHAnsi"/>
                <w:b/>
              </w:rPr>
            </w:pPr>
            <w:r w:rsidRPr="00A37B7E">
              <w:rPr>
                <w:rFonts w:cstheme="minorHAnsi"/>
                <w:b/>
              </w:rPr>
              <w:t>Nowa opłata, obciążająca podmioty gospodarcze wprowadzające pojazdy do obrotu stanowić będzie nowy, stały element kosztowy, który wpłynie także na cenę końcową produktów. Rekomenduje się rozważenie obniżenia wysokości opłaty, ponieważ może być zbyt dużym obciążeniem, które może zaburzać konkurencję i uderzać w dystrybutorów.</w:t>
            </w:r>
          </w:p>
        </w:tc>
        <w:tc>
          <w:tcPr>
            <w:tcW w:w="3827" w:type="dxa"/>
          </w:tcPr>
          <w:p w14:paraId="3D6BCA89" w14:textId="77777777" w:rsidR="0059404D" w:rsidRPr="00202DE2" w:rsidRDefault="0059404D" w:rsidP="0042202B">
            <w:pPr>
              <w:rPr>
                <w:rFonts w:cstheme="minorHAnsi"/>
                <w:b/>
              </w:rPr>
            </w:pPr>
            <w:r w:rsidRPr="00202DE2">
              <w:rPr>
                <w:rFonts w:cstheme="minorHAnsi"/>
                <w:b/>
              </w:rPr>
              <w:t xml:space="preserve">Uwaga uwzględniona – mając na uwadze uwagi zgłoszone w toku uzgodnień i konsultacji, po analizie kosztów po stronie TDT realizacji zadań, uwzględniono postulaty i dokonano zmniejszenia wysokości pobieranej opłaty w ramach nadzoru rynku w ramach optymalizacji kosztów i jednocześnie zapewnienia prawidłowego działania TDT. </w:t>
            </w:r>
          </w:p>
          <w:p w14:paraId="6EBBA5D9" w14:textId="77777777" w:rsidR="0059404D" w:rsidRPr="00B5406A" w:rsidRDefault="0059404D" w:rsidP="0042202B">
            <w:pPr>
              <w:rPr>
                <w:rFonts w:cstheme="minorHAnsi"/>
                <w:b/>
                <w:i/>
              </w:rPr>
            </w:pPr>
          </w:p>
          <w:p w14:paraId="2FD6797B" w14:textId="6F37CDC5" w:rsidR="0059404D" w:rsidRPr="00B5406A" w:rsidRDefault="0059404D" w:rsidP="0042202B">
            <w:pPr>
              <w:pStyle w:val="ZUSTzmustartykuempunktem"/>
              <w:keepNext/>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„Art. 68zk.</w:t>
            </w:r>
            <w:r w:rsidRPr="00B5406A">
              <w:rPr>
                <w:rFonts w:asciiTheme="minorHAnsi" w:eastAsiaTheme="minorHAnsi" w:hAnsiTheme="minorHAnsi" w:cstheme="minorHAnsi"/>
                <w:b/>
                <w:i/>
                <w:sz w:val="22"/>
                <w:szCs w:val="22"/>
                <w:lang w:eastAsia="en-US"/>
              </w:rPr>
              <w:t>4. Stawka opłaty za nadzór rynku motoryzacyjnego wynosi:</w:t>
            </w:r>
          </w:p>
          <w:p w14:paraId="51FF4311" w14:textId="405DFD08" w:rsidR="0059404D" w:rsidRPr="00B5406A" w:rsidRDefault="0059404D" w:rsidP="0042202B">
            <w:pPr>
              <w:pStyle w:val="ZPKTzmpktartykuempunktem"/>
              <w:keepNext/>
              <w:spacing w:line="240" w:lineRule="auto"/>
              <w:ind w:left="29" w:hanging="29"/>
              <w:jc w:val="left"/>
              <w:rPr>
                <w:rFonts w:asciiTheme="minorHAnsi" w:eastAsiaTheme="minorHAnsi" w:hAnsiTheme="minorHAnsi" w:cstheme="minorHAnsi"/>
                <w:b/>
                <w:bCs w:val="0"/>
                <w:i/>
                <w:sz w:val="22"/>
                <w:szCs w:val="22"/>
                <w:lang w:eastAsia="en-US"/>
              </w:rPr>
            </w:pPr>
            <w:r w:rsidRPr="00B5406A">
              <w:rPr>
                <w:rFonts w:asciiTheme="minorHAnsi" w:eastAsiaTheme="minorHAnsi" w:hAnsiTheme="minorHAnsi" w:cstheme="minorHAnsi"/>
                <w:b/>
                <w:bCs w:val="0"/>
                <w:i/>
                <w:sz w:val="22"/>
                <w:szCs w:val="22"/>
                <w:lang w:eastAsia="en-US"/>
              </w:rPr>
              <w:t>1)  0,05% ceny netto od każdego pojazdu wprowadzonego do obrotu na terytorium Rzeczypospolitej Polskiej w danym kwartale roku kalendarzowego, który został wyprodukowany przez:</w:t>
            </w:r>
          </w:p>
          <w:p w14:paraId="48BCC5C8" w14:textId="01A7E2F4" w:rsidR="0059404D" w:rsidRPr="00B5406A" w:rsidRDefault="0059404D" w:rsidP="0042202B">
            <w:pPr>
              <w:pStyle w:val="ZLITwPKTzmlitwpktartykuempunktem"/>
              <w:spacing w:line="240" w:lineRule="auto"/>
              <w:ind w:left="1021" w:hanging="283"/>
              <w:jc w:val="left"/>
              <w:rPr>
                <w:rFonts w:asciiTheme="minorHAnsi" w:eastAsiaTheme="minorHAnsi" w:hAnsiTheme="minorHAnsi" w:cstheme="minorHAnsi"/>
                <w:b/>
                <w:bCs w:val="0"/>
                <w:i/>
                <w:sz w:val="22"/>
                <w:szCs w:val="22"/>
                <w:lang w:eastAsia="en-US"/>
              </w:rPr>
            </w:pPr>
            <w:r w:rsidRPr="00B5406A">
              <w:rPr>
                <w:rFonts w:asciiTheme="minorHAnsi" w:eastAsiaTheme="minorHAnsi" w:hAnsiTheme="minorHAnsi" w:cstheme="minorHAnsi"/>
                <w:b/>
                <w:bCs w:val="0"/>
                <w:i/>
                <w:sz w:val="22"/>
                <w:szCs w:val="22"/>
                <w:lang w:eastAsia="en-US"/>
              </w:rPr>
              <w:t>a) producenta mającego siedzibę na terytorium jednego z państw członkowskich Unii Europejskiej, albo</w:t>
            </w:r>
          </w:p>
          <w:p w14:paraId="0CFC64FF" w14:textId="7E93A82E" w:rsidR="0059404D" w:rsidRPr="00B5406A" w:rsidRDefault="0059404D" w:rsidP="0042202B">
            <w:pPr>
              <w:pStyle w:val="ZLITwPKTzmlitwpktartykuempunktem"/>
              <w:spacing w:line="240" w:lineRule="auto"/>
              <w:ind w:left="1021" w:hanging="283"/>
              <w:jc w:val="left"/>
              <w:rPr>
                <w:rFonts w:asciiTheme="minorHAnsi" w:eastAsiaTheme="minorHAnsi" w:hAnsiTheme="minorHAnsi" w:cstheme="minorHAnsi"/>
                <w:b/>
                <w:bCs w:val="0"/>
                <w:i/>
                <w:sz w:val="22"/>
                <w:szCs w:val="22"/>
                <w:lang w:eastAsia="en-US"/>
              </w:rPr>
            </w:pPr>
            <w:r w:rsidRPr="00B5406A">
              <w:rPr>
                <w:rFonts w:asciiTheme="minorHAnsi" w:eastAsiaTheme="minorHAnsi" w:hAnsiTheme="minorHAnsi" w:cstheme="minorHAnsi"/>
                <w:b/>
                <w:bCs w:val="0"/>
                <w:i/>
                <w:sz w:val="22"/>
                <w:szCs w:val="22"/>
                <w:lang w:eastAsia="en-US"/>
              </w:rPr>
              <w:t>b)  producenta nie posiadającego siedziby na terytorium jednego z państw członkowskich Unii Europejskiej, ale posiadającego na terytorium takiego państwa co najmniej jeden zakład produkcyjny, z zastrzeżeniem pkt 2 lit. b,</w:t>
            </w:r>
          </w:p>
          <w:p w14:paraId="49BB4E39" w14:textId="77777777" w:rsidR="0059404D" w:rsidRPr="00B5406A" w:rsidRDefault="0059404D" w:rsidP="0042202B">
            <w:pPr>
              <w:pStyle w:val="ZLITwPKTzmlitwpktartykuempunktem"/>
              <w:keepNext/>
              <w:spacing w:line="240" w:lineRule="auto"/>
              <w:jc w:val="left"/>
              <w:rPr>
                <w:rFonts w:asciiTheme="minorHAnsi" w:eastAsiaTheme="minorHAnsi" w:hAnsiTheme="minorHAnsi" w:cstheme="minorHAnsi"/>
                <w:b/>
                <w:bCs w:val="0"/>
                <w:i/>
                <w:sz w:val="22"/>
                <w:szCs w:val="22"/>
                <w:lang w:eastAsia="en-US"/>
              </w:rPr>
            </w:pPr>
          </w:p>
          <w:p w14:paraId="31B4B467" w14:textId="70C102A1" w:rsidR="0059404D" w:rsidRPr="00B5406A" w:rsidRDefault="0059404D" w:rsidP="0042202B">
            <w:pPr>
              <w:pStyle w:val="ZLITPKTzmpktliter"/>
              <w:keepNext/>
              <w:spacing w:line="240" w:lineRule="auto"/>
              <w:ind w:left="313" w:firstLine="0"/>
              <w:jc w:val="left"/>
              <w:rPr>
                <w:rFonts w:asciiTheme="minorHAnsi" w:eastAsiaTheme="minorHAnsi" w:hAnsiTheme="minorHAnsi" w:cstheme="minorHAnsi"/>
                <w:b/>
                <w:bCs w:val="0"/>
                <w:i/>
                <w:sz w:val="22"/>
                <w:szCs w:val="22"/>
                <w:lang w:eastAsia="en-US"/>
              </w:rPr>
            </w:pPr>
            <w:r w:rsidRPr="00B5406A">
              <w:rPr>
                <w:rFonts w:asciiTheme="minorHAnsi" w:eastAsiaTheme="minorHAnsi" w:hAnsiTheme="minorHAnsi" w:cstheme="minorHAnsi"/>
                <w:b/>
                <w:bCs w:val="0"/>
                <w:i/>
                <w:sz w:val="22"/>
                <w:szCs w:val="22"/>
                <w:lang w:eastAsia="en-US"/>
              </w:rPr>
              <w:t>2) 1% ceny netto od każdego pojazdu wprowadzonego do obrotu na  terytorium Rzeczypospolitej Polskiej w danym kwartale roku kalendarzowego, który został wyprodukowany przez:</w:t>
            </w:r>
          </w:p>
          <w:p w14:paraId="7C79A922" w14:textId="378EDBD1" w:rsidR="0059404D" w:rsidRPr="00B5406A" w:rsidRDefault="0059404D" w:rsidP="0042202B">
            <w:pPr>
              <w:pStyle w:val="ZLITLITwPKTzmlitwpktliter"/>
              <w:spacing w:line="240" w:lineRule="auto"/>
              <w:ind w:left="880" w:firstLine="0"/>
              <w:jc w:val="left"/>
              <w:rPr>
                <w:rFonts w:asciiTheme="minorHAnsi" w:eastAsiaTheme="minorHAnsi" w:hAnsiTheme="minorHAnsi" w:cstheme="minorHAnsi"/>
                <w:b/>
                <w:bCs w:val="0"/>
                <w:i/>
                <w:sz w:val="22"/>
                <w:szCs w:val="22"/>
                <w:lang w:eastAsia="en-US"/>
              </w:rPr>
            </w:pPr>
            <w:r w:rsidRPr="00B5406A">
              <w:rPr>
                <w:rFonts w:asciiTheme="minorHAnsi" w:eastAsiaTheme="minorHAnsi" w:hAnsiTheme="minorHAnsi" w:cstheme="minorHAnsi"/>
                <w:b/>
                <w:bCs w:val="0"/>
                <w:i/>
                <w:sz w:val="22"/>
                <w:szCs w:val="22"/>
                <w:lang w:eastAsia="en-US"/>
              </w:rPr>
              <w:t>a) producenta nie posiadającego siedziby i zakładu produkcyjnego na  terytorium jednego z państw członkowskich Unii Europejskiej, lub</w:t>
            </w:r>
          </w:p>
          <w:p w14:paraId="625A75C2" w14:textId="20BA5008" w:rsidR="0059404D" w:rsidRPr="00B5406A" w:rsidRDefault="0059404D" w:rsidP="0042202B">
            <w:pPr>
              <w:pStyle w:val="ZLITLITwPKTzmlitwpktliter"/>
              <w:spacing w:line="240" w:lineRule="auto"/>
              <w:ind w:left="880" w:firstLine="0"/>
              <w:jc w:val="left"/>
              <w:rPr>
                <w:rFonts w:asciiTheme="minorHAnsi" w:eastAsiaTheme="minorHAnsi" w:hAnsiTheme="minorHAnsi" w:cstheme="minorHAnsi"/>
                <w:b/>
                <w:bCs w:val="0"/>
                <w:i/>
                <w:sz w:val="22"/>
                <w:szCs w:val="22"/>
                <w:lang w:eastAsia="en-US"/>
              </w:rPr>
            </w:pPr>
            <w:r w:rsidRPr="00B5406A">
              <w:rPr>
                <w:rFonts w:asciiTheme="minorHAnsi" w:eastAsiaTheme="minorHAnsi" w:hAnsiTheme="minorHAnsi" w:cstheme="minorHAnsi"/>
                <w:b/>
                <w:bCs w:val="0"/>
                <w:i/>
                <w:sz w:val="22"/>
                <w:szCs w:val="22"/>
                <w:lang w:eastAsia="en-US"/>
              </w:rPr>
              <w:t xml:space="preserve">b) producenta wskazanego w art. 1 ust. 2 rozporządzenia wykonawczego Komisji (UE) 2024/2754 z dnia 29 października 2024 r. nakładającego ostateczne cło wyrównawcze na przywóz nowych pojazdów elektrycznych o napędzie akumulatorowym przeznaczonych do przewozu osób pochodzący z Chińskiej Republiki Ludowej (Dz. Urz. UE L 2024/2754 z  29.10.2024). </w:t>
            </w:r>
          </w:p>
          <w:p w14:paraId="4C9D004D" w14:textId="62F2D632" w:rsidR="0059404D" w:rsidRPr="00B5406A"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B5406A">
              <w:rPr>
                <w:rFonts w:asciiTheme="minorHAnsi" w:eastAsiaTheme="minorHAnsi" w:hAnsiTheme="minorHAnsi" w:cstheme="minorHAnsi"/>
                <w:b/>
                <w:i/>
                <w:sz w:val="22"/>
                <w:szCs w:val="22"/>
                <w:lang w:eastAsia="en-US"/>
              </w:rPr>
              <w:t>5. Cena netto wprowadzonego do obrotu na terytorium Rzeczypospolitej Polskiej pojazdu jest ustalana przez producenta lub podmioty gospodarcze, o których mowa w ust. 2, na podstawie faktury VAT lub rachunku wystawianego w związku z pierwszą umową umożliwiającą użytkowanie albo dystrybucję tego pojazdu na terytorium Rzeczypospolitej Polskiej.</w:t>
            </w:r>
            <w:r>
              <w:rPr>
                <w:rFonts w:asciiTheme="minorHAnsi" w:eastAsiaTheme="minorHAnsi" w:hAnsiTheme="minorHAnsi" w:cstheme="minorHAnsi"/>
                <w:b/>
                <w:i/>
                <w:sz w:val="22"/>
                <w:szCs w:val="22"/>
                <w:lang w:eastAsia="en-US"/>
              </w:rPr>
              <w:t>”</w:t>
            </w:r>
          </w:p>
        </w:tc>
        <w:tc>
          <w:tcPr>
            <w:tcW w:w="3686" w:type="dxa"/>
          </w:tcPr>
          <w:p w14:paraId="5CBC792F" w14:textId="16DF3B83" w:rsidR="00A15299" w:rsidRDefault="00A15299" w:rsidP="0042202B">
            <w:pPr>
              <w:rPr>
                <w:rFonts w:cstheme="minorHAnsi"/>
                <w:b/>
              </w:rPr>
            </w:pPr>
            <w:r>
              <w:rPr>
                <w:rFonts w:cstheme="minorHAnsi"/>
                <w:b/>
              </w:rPr>
              <w:t>Akceptacja</w:t>
            </w:r>
          </w:p>
          <w:p w14:paraId="21134C4D" w14:textId="77777777" w:rsidR="00A15299" w:rsidRPr="00A15299" w:rsidRDefault="00A15299" w:rsidP="0042202B">
            <w:pPr>
              <w:rPr>
                <w:rFonts w:cstheme="minorHAnsi"/>
              </w:rPr>
            </w:pPr>
          </w:p>
          <w:p w14:paraId="783CB6F0" w14:textId="77777777" w:rsidR="00A15299" w:rsidRPr="00A15299" w:rsidRDefault="00A15299" w:rsidP="0042202B">
            <w:pPr>
              <w:rPr>
                <w:rFonts w:cstheme="minorHAnsi"/>
              </w:rPr>
            </w:pPr>
          </w:p>
          <w:p w14:paraId="415114D7" w14:textId="77777777" w:rsidR="00A15299" w:rsidRPr="00A15299" w:rsidRDefault="00A15299" w:rsidP="0042202B">
            <w:pPr>
              <w:rPr>
                <w:rFonts w:cstheme="minorHAnsi"/>
              </w:rPr>
            </w:pPr>
          </w:p>
          <w:p w14:paraId="38D9B53D" w14:textId="77777777" w:rsidR="00A15299" w:rsidRPr="00A15299" w:rsidRDefault="00A15299" w:rsidP="0042202B">
            <w:pPr>
              <w:rPr>
                <w:rFonts w:cstheme="minorHAnsi"/>
              </w:rPr>
            </w:pPr>
          </w:p>
          <w:p w14:paraId="1B20B946" w14:textId="77777777" w:rsidR="00A15299" w:rsidRPr="00A15299" w:rsidRDefault="00A15299" w:rsidP="0042202B">
            <w:pPr>
              <w:rPr>
                <w:rFonts w:cstheme="minorHAnsi"/>
              </w:rPr>
            </w:pPr>
          </w:p>
          <w:p w14:paraId="0CFADEBE" w14:textId="517074D1" w:rsidR="00A15299" w:rsidRDefault="00A15299" w:rsidP="0042202B">
            <w:pPr>
              <w:rPr>
                <w:rFonts w:cstheme="minorHAnsi"/>
              </w:rPr>
            </w:pPr>
          </w:p>
          <w:p w14:paraId="2B86D17C" w14:textId="77777777" w:rsidR="00A15299" w:rsidRPr="00A15299" w:rsidRDefault="00A15299" w:rsidP="0042202B">
            <w:pPr>
              <w:rPr>
                <w:rFonts w:cstheme="minorHAnsi"/>
              </w:rPr>
            </w:pPr>
          </w:p>
          <w:p w14:paraId="623E4D37" w14:textId="6E1F4388" w:rsidR="00A15299" w:rsidRDefault="00A15299" w:rsidP="0042202B">
            <w:pPr>
              <w:rPr>
                <w:rFonts w:cstheme="minorHAnsi"/>
              </w:rPr>
            </w:pPr>
          </w:p>
          <w:p w14:paraId="406EAF2B" w14:textId="7142DAB6" w:rsidR="00A15299" w:rsidRDefault="00A15299" w:rsidP="0042202B">
            <w:pPr>
              <w:rPr>
                <w:rFonts w:cstheme="minorHAnsi"/>
              </w:rPr>
            </w:pPr>
          </w:p>
          <w:p w14:paraId="2CCD6D02" w14:textId="5FDBA6FD" w:rsidR="00A15299" w:rsidRDefault="00A15299" w:rsidP="0042202B">
            <w:pPr>
              <w:rPr>
                <w:rFonts w:cstheme="minorHAnsi"/>
              </w:rPr>
            </w:pPr>
          </w:p>
          <w:p w14:paraId="08A219C5" w14:textId="77777777" w:rsidR="0059404D" w:rsidRPr="00A15299" w:rsidRDefault="0059404D" w:rsidP="0042202B">
            <w:pPr>
              <w:rPr>
                <w:rFonts w:cstheme="minorHAnsi"/>
              </w:rPr>
            </w:pPr>
          </w:p>
        </w:tc>
      </w:tr>
      <w:tr w:rsidR="0059404D" w:rsidRPr="00F515D6" w14:paraId="68D47050" w14:textId="4581F69C" w:rsidTr="00D76FE7">
        <w:tc>
          <w:tcPr>
            <w:tcW w:w="562" w:type="dxa"/>
          </w:tcPr>
          <w:p w14:paraId="211BDE74" w14:textId="77777777" w:rsidR="0059404D" w:rsidRPr="009E0553" w:rsidRDefault="0059404D" w:rsidP="0042202B">
            <w:pPr>
              <w:rPr>
                <w:rFonts w:cstheme="minorHAnsi"/>
                <w:b/>
              </w:rPr>
            </w:pPr>
            <w:r w:rsidRPr="009E0553">
              <w:rPr>
                <w:rFonts w:cstheme="minorHAnsi"/>
                <w:b/>
              </w:rPr>
              <w:t>40</w:t>
            </w:r>
          </w:p>
        </w:tc>
        <w:tc>
          <w:tcPr>
            <w:tcW w:w="993" w:type="dxa"/>
          </w:tcPr>
          <w:p w14:paraId="0952B652" w14:textId="77777777" w:rsidR="0059404D" w:rsidRDefault="0059404D" w:rsidP="0042202B">
            <w:pPr>
              <w:rPr>
                <w:rFonts w:cstheme="minorHAnsi"/>
                <w:b/>
              </w:rPr>
            </w:pPr>
            <w:r w:rsidRPr="009E0553">
              <w:rPr>
                <w:rFonts w:cstheme="minorHAnsi"/>
                <w:b/>
              </w:rPr>
              <w:t>MFiG (MRiT)</w:t>
            </w:r>
          </w:p>
          <w:p w14:paraId="782BD8D4" w14:textId="77777777" w:rsidR="0059404D" w:rsidRDefault="0059404D" w:rsidP="0042202B">
            <w:pPr>
              <w:rPr>
                <w:rFonts w:cstheme="minorHAnsi"/>
                <w:b/>
                <w:color w:val="00B050"/>
              </w:rPr>
            </w:pPr>
            <w:r>
              <w:rPr>
                <w:rFonts w:cstheme="minorHAnsi"/>
                <w:b/>
                <w:color w:val="00B050"/>
              </w:rPr>
              <w:t xml:space="preserve">+ </w:t>
            </w:r>
          </w:p>
          <w:p w14:paraId="11B9F648" w14:textId="4401A49E" w:rsidR="0059404D" w:rsidRDefault="0059404D" w:rsidP="0042202B">
            <w:pPr>
              <w:rPr>
                <w:rFonts w:cstheme="minorHAnsi"/>
                <w:b/>
                <w:color w:val="00B050"/>
              </w:rPr>
            </w:pPr>
            <w:r>
              <w:rPr>
                <w:rFonts w:cstheme="minorHAnsi"/>
                <w:b/>
                <w:color w:val="00B050"/>
              </w:rPr>
              <w:t>uwaga 30 MNiSZW</w:t>
            </w:r>
          </w:p>
          <w:p w14:paraId="4531CDD3" w14:textId="1BB6482E" w:rsidR="0059404D" w:rsidRPr="00506A57" w:rsidRDefault="0059404D" w:rsidP="0042202B">
            <w:pPr>
              <w:rPr>
                <w:rFonts w:cstheme="minorHAnsi"/>
                <w:b/>
                <w:color w:val="00B050"/>
              </w:rPr>
            </w:pPr>
            <w:r>
              <w:rPr>
                <w:rFonts w:cstheme="minorHAnsi"/>
                <w:b/>
                <w:color w:val="00B050"/>
              </w:rPr>
              <w:t>+ uwaga 124-125 MSZ</w:t>
            </w:r>
          </w:p>
        </w:tc>
        <w:tc>
          <w:tcPr>
            <w:tcW w:w="1701" w:type="dxa"/>
          </w:tcPr>
          <w:p w14:paraId="22B1EEA5" w14:textId="1C6906E3" w:rsidR="0059404D" w:rsidRPr="009E0553" w:rsidRDefault="0059404D" w:rsidP="0042202B">
            <w:pPr>
              <w:rPr>
                <w:rFonts w:cstheme="minorHAnsi"/>
                <w:b/>
              </w:rPr>
            </w:pPr>
            <w:r w:rsidRPr="009E0553">
              <w:rPr>
                <w:rFonts w:cstheme="minorHAnsi"/>
                <w:b/>
              </w:rPr>
              <w:t>art. 68l ust. 9 UH (notyfikacja usługowa)</w:t>
            </w:r>
          </w:p>
        </w:tc>
        <w:tc>
          <w:tcPr>
            <w:tcW w:w="5953" w:type="dxa"/>
          </w:tcPr>
          <w:p w14:paraId="1F1D055D" w14:textId="77777777" w:rsidR="0059404D" w:rsidRPr="009E0553" w:rsidRDefault="0059404D" w:rsidP="0042202B">
            <w:pPr>
              <w:rPr>
                <w:rFonts w:cstheme="minorHAnsi"/>
                <w:b/>
              </w:rPr>
            </w:pPr>
            <w:bookmarkStart w:id="37" w:name="_Hlk224938606"/>
            <w:r w:rsidRPr="009E0553">
              <w:rPr>
                <w:rFonts w:cstheme="minorHAnsi"/>
                <w:b/>
              </w:rPr>
              <w:t xml:space="preserve">W </w:t>
            </w:r>
            <w:bookmarkStart w:id="38" w:name="_Hlk210372747"/>
            <w:r w:rsidRPr="009E0553">
              <w:rPr>
                <w:rFonts w:cstheme="minorHAnsi"/>
                <w:b/>
              </w:rPr>
              <w:t xml:space="preserve">art. 68l ust. 9 </w:t>
            </w:r>
            <w:bookmarkEnd w:id="38"/>
            <w:r w:rsidRPr="009E0553">
              <w:rPr>
                <w:rFonts w:cstheme="minorHAnsi"/>
                <w:b/>
              </w:rPr>
              <w:t>projektu wskazane są wymogi, które musi spełnić przedsiębiorca, aby otrzymać upoważnienie do prowadzenia szkolenia w zakresie krajowego indywidualnego dopuszczenia pojazdu niebędącego nowym pojazdem.</w:t>
            </w:r>
          </w:p>
          <w:p w14:paraId="09E6258D" w14:textId="77777777" w:rsidR="0059404D" w:rsidRPr="009E0553" w:rsidRDefault="0059404D" w:rsidP="0042202B">
            <w:pPr>
              <w:rPr>
                <w:rFonts w:cstheme="minorHAnsi"/>
                <w:b/>
              </w:rPr>
            </w:pPr>
            <w:r w:rsidRPr="009E0553">
              <w:rPr>
                <w:rFonts w:cstheme="minorHAnsi"/>
                <w:b/>
              </w:rPr>
              <w:t xml:space="preserve">Wymóg posiadania siedziby lub miejsca zamieszkania na terytorium Rzeczypospolitej Polskiej wyklucza z tej procedury potencjalnie zainteresowanych przedsiębiorców z państw UE. Tym samym jest to wymóg dyskryminujący i zakazany prawem UE, w tym przepisami art. 14 dyrektywy 2006/123/WE o usługach na rynku wewnętrznym. </w:t>
            </w:r>
          </w:p>
          <w:p w14:paraId="376376F6" w14:textId="6D87B2E0" w:rsidR="0059404D" w:rsidRPr="009E0553" w:rsidRDefault="0059404D" w:rsidP="0042202B">
            <w:pPr>
              <w:rPr>
                <w:rFonts w:cstheme="minorHAnsi"/>
                <w:b/>
              </w:rPr>
            </w:pPr>
            <w:r w:rsidRPr="009E0553">
              <w:rPr>
                <w:rFonts w:cstheme="minorHAnsi"/>
                <w:b/>
              </w:rPr>
              <w:t xml:space="preserve">Sugeruje się zmianę tego przepisu na dopuszczającą przedsiębiorców z innych państw EU/EOG.  </w:t>
            </w:r>
          </w:p>
          <w:p w14:paraId="7DD77B5A" w14:textId="77777777" w:rsidR="0059404D" w:rsidRPr="009E0553" w:rsidRDefault="0059404D" w:rsidP="0042202B">
            <w:pPr>
              <w:rPr>
                <w:rFonts w:cstheme="minorHAnsi"/>
                <w:b/>
              </w:rPr>
            </w:pPr>
            <w:r w:rsidRPr="009E0553">
              <w:rPr>
                <w:rFonts w:cstheme="minorHAnsi"/>
                <w:b/>
              </w:rPr>
              <w:t xml:space="preserve">Pozostałe wymogi wymienione w art. 68l ust. 9 należą do wymogów podlegających ocenie (wymogi, które zastrzegają podjęcie działalności usługowej dla wybranych usługodawców z uwagi na szczególny charakter działalności - art. 15 ust. 2 lit. d) i wymagają notyfikacji Komisji Europejskiej w Internal Market Information System. Notyfikacja nie wstrzymuje procesu legislacyjnego. Do notyfikacji wymagane jest uzasadnienie wprowadzanych wymogów. Wymogi muszą być niedyskryminujące, konieczne (uzasadnione nadrzędnym interesem publicznym) i proporcjonalne (odpowiednie dla osiągniecia wyznaczonego celu i nie wykraczające poza to co niezbędne do osiągnięcia celu). Zarówno Komisja, jak i pozostałe państwa członkowskie mają prawo zgłaszać uwagi do notyfikowanych przepisów. Każde ministerstwo odpowiada za notyfikacje przepisów pozostających w jego kompetencjach. </w:t>
            </w:r>
          </w:p>
          <w:p w14:paraId="5ABCD774" w14:textId="77777777" w:rsidR="0059404D" w:rsidRPr="009E0553" w:rsidRDefault="0059404D" w:rsidP="0042202B">
            <w:pPr>
              <w:rPr>
                <w:rFonts w:cstheme="minorHAnsi"/>
                <w:b/>
              </w:rPr>
            </w:pPr>
            <w:r w:rsidRPr="009E0553">
              <w:rPr>
                <w:rFonts w:cstheme="minorHAnsi"/>
                <w:b/>
              </w:rPr>
              <w:t xml:space="preserve">Zgodnie z art. 68a ust. 1 pkt 1 PP: przyjmowane przez Radę Ministrów projekty aktów normatywnych, które określają zasady podejmowania, wykonywania lub zakończenia działalności gospodarczej, zawierają w uzasadnieniu projektu ocenę wnioskodawcy czy projekt zawiera wymogi nakładane na usługodawców, o których należy powiadomić za pośrednictwem Systemu Wymiany Informacji na Rynku Wewnętrznym IMI. </w:t>
            </w:r>
          </w:p>
          <w:p w14:paraId="4EA4308B" w14:textId="3EA1A828" w:rsidR="0059404D" w:rsidRPr="009E0553" w:rsidRDefault="0059404D" w:rsidP="0042202B">
            <w:pPr>
              <w:rPr>
                <w:rFonts w:cstheme="minorHAnsi"/>
                <w:b/>
              </w:rPr>
            </w:pPr>
            <w:r w:rsidRPr="009E0553">
              <w:rPr>
                <w:rFonts w:cstheme="minorHAnsi"/>
                <w:b/>
              </w:rPr>
              <w:t>Wymóg ten dotyczy oceny dotyczącej tzw. notyfikacji usługowej, związanej ze stosowaniem Dyrektywy 2006/123/WE Parlamentu Europejskiego i Rady z dnia 12 grudnia 2006 r. dotyczącej usług na rynku wewnętrznym.</w:t>
            </w:r>
          </w:p>
          <w:p w14:paraId="0BE72049" w14:textId="77777777" w:rsidR="0059404D" w:rsidRPr="009E0553" w:rsidRDefault="0059404D" w:rsidP="0042202B">
            <w:pPr>
              <w:rPr>
                <w:rFonts w:cstheme="minorHAnsi"/>
                <w:b/>
              </w:rPr>
            </w:pPr>
            <w:r w:rsidRPr="009E0553">
              <w:rPr>
                <w:rFonts w:cstheme="minorHAnsi"/>
                <w:b/>
              </w:rPr>
              <w:t xml:space="preserve">Dlatego też należy uzupełnić uzasadnienie poniższą klauzulą. </w:t>
            </w:r>
          </w:p>
          <w:p w14:paraId="53019D8E" w14:textId="391D458E" w:rsidR="0059404D" w:rsidRPr="009E0553" w:rsidRDefault="0059404D" w:rsidP="0042202B">
            <w:pPr>
              <w:rPr>
                <w:rFonts w:cstheme="minorHAnsi"/>
                <w:b/>
                <w:i/>
                <w:iCs/>
              </w:rPr>
            </w:pPr>
            <w:r w:rsidRPr="009E0553">
              <w:rPr>
                <w:rFonts w:cstheme="minorHAnsi"/>
                <w:b/>
                <w:i/>
                <w:iCs/>
              </w:rPr>
              <w:t>„Projekt aktu zawiera wymogi nakładane na usługodawców podlegające notyfikacji Komisji Europejskiej zgodnie z procedurą, o której mowa w art. 15 ust. 7 i art. 39 ust. 5 dyrektywy 2006/123/WE Parlamentu Europejskiego i Rady z dnia 12 grudnia 2006 r. dotyczącej usług na rynku wewnętrznym (Dz. Urz. UE L 376 z 27.12.2006, str. 36).”</w:t>
            </w:r>
          </w:p>
          <w:p w14:paraId="074E8C82" w14:textId="33023A98" w:rsidR="0059404D" w:rsidRPr="009E0553" w:rsidRDefault="0059404D" w:rsidP="0042202B">
            <w:pPr>
              <w:rPr>
                <w:rFonts w:cstheme="minorHAnsi"/>
                <w:b/>
              </w:rPr>
            </w:pPr>
            <w:r w:rsidRPr="009E0553">
              <w:rPr>
                <w:rFonts w:cstheme="minorHAnsi"/>
                <w:b/>
              </w:rPr>
              <w:t>Ponadto w odniesieniu do tego przepisu (art. 68l ust 9), pomimo iż jest on wykazany w odwróconej tabeli zgodności, nie umieszczono wyjaśnienia niezbędności objęcia projektem ustawy, co jest wymagane zgodnie z §  29 ust. 2 Regulaminu pracy RM (w kolumnie uzasadnienie zawarto jedynie enigmatyczną informację - i to do wielu przepisów jednocześnie -  tj.: Nowy przepis wprowadzający zasady funkcjonowania ww. nowej krajowej procedury – krajowego indywidualnego dopuszczenia pojazdu niebędącego nowym pojazdem). Dodatkowo brakuje także w uzasadnieniu wyjaśnienia konieczności zastosowania rozwiązań przewidzianych projektowanym przepisem art. 68l ust. 9.</w:t>
            </w:r>
            <w:bookmarkEnd w:id="37"/>
          </w:p>
        </w:tc>
        <w:tc>
          <w:tcPr>
            <w:tcW w:w="3827" w:type="dxa"/>
          </w:tcPr>
          <w:p w14:paraId="373FF529" w14:textId="77777777" w:rsidR="0059404D" w:rsidRDefault="0059404D" w:rsidP="0042202B">
            <w:pPr>
              <w:rPr>
                <w:rFonts w:cstheme="minorHAnsi"/>
                <w:b/>
              </w:rPr>
            </w:pPr>
            <w:r w:rsidRPr="009E0553">
              <w:rPr>
                <w:rFonts w:cstheme="minorHAnsi"/>
                <w:b/>
              </w:rPr>
              <w:t>Uwaga uwzględniona - poprzez uwzględnienie oddziału przedsiębiorcy jako przedsiębiorcy zagranicznego wpisanego do Krajowego Rejestru Sądowego</w:t>
            </w:r>
            <w:r>
              <w:rPr>
                <w:rFonts w:cstheme="minorHAnsi"/>
                <w:b/>
              </w:rPr>
              <w:t xml:space="preserve"> oraz uzupełnienia </w:t>
            </w:r>
            <w:r w:rsidRPr="009E0553">
              <w:rPr>
                <w:rFonts w:cstheme="minorHAnsi"/>
                <w:b/>
              </w:rPr>
              <w:t>uzasadnieni</w:t>
            </w:r>
            <w:r>
              <w:rPr>
                <w:rFonts w:cstheme="minorHAnsi"/>
                <w:b/>
              </w:rPr>
              <w:t>a</w:t>
            </w:r>
            <w:r w:rsidRPr="009E0553">
              <w:rPr>
                <w:rFonts w:cstheme="minorHAnsi"/>
                <w:b/>
              </w:rPr>
              <w:t xml:space="preserve"> klauzulą w zakresie notyfikacji KE. </w:t>
            </w:r>
          </w:p>
          <w:p w14:paraId="2637C858" w14:textId="77777777" w:rsidR="0059404D" w:rsidRDefault="0059404D" w:rsidP="0042202B">
            <w:pPr>
              <w:rPr>
                <w:rFonts w:cstheme="minorHAnsi"/>
                <w:b/>
                <w:color w:val="FF0000"/>
              </w:rPr>
            </w:pPr>
          </w:p>
          <w:p w14:paraId="450D8FB7" w14:textId="2284F7F5" w:rsidR="0059404D" w:rsidRPr="002F15C1" w:rsidRDefault="0059404D"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2F15C1">
              <w:rPr>
                <w:rFonts w:asciiTheme="minorHAnsi" w:eastAsiaTheme="minorHAnsi" w:hAnsiTheme="minorHAnsi" w:cstheme="minorHAnsi"/>
                <w:b/>
                <w:i/>
                <w:sz w:val="22"/>
                <w:szCs w:val="22"/>
                <w:lang w:eastAsia="en-US"/>
              </w:rPr>
              <w:t>„Art.</w:t>
            </w:r>
            <w:r>
              <w:rPr>
                <w:rFonts w:asciiTheme="minorHAnsi" w:eastAsiaTheme="minorHAnsi" w:hAnsiTheme="minorHAnsi" w:cstheme="minorHAnsi"/>
                <w:b/>
                <w:i/>
                <w:sz w:val="22"/>
                <w:szCs w:val="22"/>
                <w:lang w:eastAsia="en-US"/>
              </w:rPr>
              <w:t xml:space="preserve"> 68h ust. </w:t>
            </w:r>
            <w:r w:rsidRPr="002F15C1">
              <w:rPr>
                <w:rFonts w:asciiTheme="minorHAnsi" w:eastAsiaTheme="minorHAnsi" w:hAnsiTheme="minorHAnsi" w:cstheme="minorHAnsi"/>
                <w:b/>
                <w:i/>
                <w:sz w:val="22"/>
                <w:szCs w:val="22"/>
                <w:lang w:eastAsia="en-US"/>
              </w:rPr>
              <w:t>6. Upoważnienie do prowadzenia szkolenia wydaje się przedsiębiorcy, jeżeli:</w:t>
            </w:r>
          </w:p>
          <w:p w14:paraId="344F3EB7" w14:textId="63D6E015" w:rsidR="0059404D" w:rsidRPr="002F15C1" w:rsidRDefault="0059404D" w:rsidP="0042202B">
            <w:pPr>
              <w:pStyle w:val="ZUSTzmustartykuempunktem"/>
              <w:numPr>
                <w:ilvl w:val="0"/>
                <w:numId w:val="22"/>
              </w:numPr>
              <w:spacing w:line="240" w:lineRule="auto"/>
              <w:jc w:val="left"/>
              <w:rPr>
                <w:rFonts w:asciiTheme="minorHAnsi" w:eastAsiaTheme="minorHAnsi" w:hAnsiTheme="minorHAnsi" w:cstheme="minorHAnsi"/>
                <w:b/>
                <w:i/>
                <w:sz w:val="22"/>
                <w:szCs w:val="22"/>
                <w:lang w:eastAsia="en-US"/>
              </w:rPr>
            </w:pPr>
            <w:r w:rsidRPr="002F15C1">
              <w:rPr>
                <w:rFonts w:asciiTheme="minorHAnsi" w:eastAsiaTheme="minorHAnsi" w:hAnsiTheme="minorHAnsi" w:cstheme="minorHAnsi"/>
                <w:b/>
                <w:i/>
                <w:sz w:val="22"/>
                <w:szCs w:val="22"/>
                <w:lang w:eastAsia="en-US"/>
              </w:rPr>
              <w:t>posiada siedzibę, oddział lub miejsce zamieszkania na terytorium Rzeczypospolitej Polskiej;”</w:t>
            </w:r>
          </w:p>
          <w:p w14:paraId="6B70FE30" w14:textId="2BACFB77" w:rsidR="0059404D" w:rsidRPr="009E0553" w:rsidRDefault="0059404D" w:rsidP="0042202B">
            <w:pPr>
              <w:rPr>
                <w:rFonts w:cstheme="minorHAnsi"/>
                <w:b/>
              </w:rPr>
            </w:pPr>
            <w:r w:rsidRPr="009E0553">
              <w:rPr>
                <w:rFonts w:cstheme="minorHAnsi"/>
                <w:b/>
                <w:color w:val="FF0000"/>
              </w:rPr>
              <w:t xml:space="preserve"> </w:t>
            </w:r>
          </w:p>
        </w:tc>
        <w:tc>
          <w:tcPr>
            <w:tcW w:w="3686" w:type="dxa"/>
          </w:tcPr>
          <w:p w14:paraId="25DEA626" w14:textId="59DD7EEC" w:rsidR="0059404D" w:rsidRPr="009E0553" w:rsidRDefault="00A15299" w:rsidP="0042202B">
            <w:pPr>
              <w:rPr>
                <w:rFonts w:cstheme="minorHAnsi"/>
                <w:b/>
              </w:rPr>
            </w:pPr>
            <w:r>
              <w:rPr>
                <w:rFonts w:cstheme="minorHAnsi"/>
                <w:b/>
              </w:rPr>
              <w:t>Akceptacja</w:t>
            </w:r>
          </w:p>
        </w:tc>
      </w:tr>
      <w:tr w:rsidR="0059404D" w:rsidRPr="00F515D6" w14:paraId="6BBC4778" w14:textId="6998D3B9" w:rsidTr="00D76FE7">
        <w:tc>
          <w:tcPr>
            <w:tcW w:w="562" w:type="dxa"/>
          </w:tcPr>
          <w:p w14:paraId="287482C5" w14:textId="4A05C357" w:rsidR="0059404D" w:rsidRPr="007B2173" w:rsidRDefault="0059404D" w:rsidP="0042202B">
            <w:pPr>
              <w:rPr>
                <w:rFonts w:cstheme="minorHAnsi"/>
                <w:b/>
              </w:rPr>
            </w:pPr>
            <w:r w:rsidRPr="007B2173">
              <w:rPr>
                <w:rFonts w:cstheme="minorHAnsi"/>
                <w:b/>
              </w:rPr>
              <w:t>41</w:t>
            </w:r>
          </w:p>
        </w:tc>
        <w:tc>
          <w:tcPr>
            <w:tcW w:w="993" w:type="dxa"/>
          </w:tcPr>
          <w:p w14:paraId="18C97C56" w14:textId="77777777" w:rsidR="0059404D" w:rsidRPr="007B2173" w:rsidRDefault="0059404D" w:rsidP="0042202B">
            <w:pPr>
              <w:rPr>
                <w:rFonts w:cstheme="minorHAnsi"/>
                <w:b/>
              </w:rPr>
            </w:pPr>
            <w:r w:rsidRPr="007B2173">
              <w:rPr>
                <w:rFonts w:cstheme="minorHAnsi"/>
                <w:b/>
              </w:rPr>
              <w:t>MFiG (MRiT)</w:t>
            </w:r>
          </w:p>
        </w:tc>
        <w:tc>
          <w:tcPr>
            <w:tcW w:w="1701" w:type="dxa"/>
          </w:tcPr>
          <w:p w14:paraId="04B3AEA3" w14:textId="77777777" w:rsidR="0059404D" w:rsidRPr="007B2173" w:rsidRDefault="0059404D" w:rsidP="0042202B">
            <w:pPr>
              <w:rPr>
                <w:rFonts w:cstheme="minorHAnsi"/>
                <w:b/>
              </w:rPr>
            </w:pPr>
            <w:r w:rsidRPr="007B2173">
              <w:rPr>
                <w:rFonts w:cstheme="minorHAnsi"/>
                <w:b/>
              </w:rPr>
              <w:t xml:space="preserve">OSR </w:t>
            </w:r>
          </w:p>
          <w:p w14:paraId="7C3F49F3" w14:textId="77777777" w:rsidR="0059404D" w:rsidRPr="007B2173" w:rsidRDefault="0059404D" w:rsidP="0042202B">
            <w:pPr>
              <w:rPr>
                <w:rFonts w:cstheme="minorHAnsi"/>
                <w:b/>
              </w:rPr>
            </w:pPr>
            <w:r w:rsidRPr="007B2173">
              <w:rPr>
                <w:rFonts w:cstheme="minorHAnsi"/>
                <w:b/>
              </w:rPr>
              <w:t>(Zasada równoważenia obciążeń administracyjnych)</w:t>
            </w:r>
          </w:p>
        </w:tc>
        <w:tc>
          <w:tcPr>
            <w:tcW w:w="5953" w:type="dxa"/>
          </w:tcPr>
          <w:p w14:paraId="0EDCF970" w14:textId="5A23C921" w:rsidR="0059404D" w:rsidRPr="007B2173" w:rsidRDefault="0059404D" w:rsidP="0042202B">
            <w:pPr>
              <w:rPr>
                <w:rFonts w:cstheme="minorHAnsi"/>
                <w:b/>
              </w:rPr>
            </w:pPr>
            <w:r w:rsidRPr="007B2173">
              <w:rPr>
                <w:rFonts w:cstheme="minorHAnsi"/>
                <w:b/>
              </w:rPr>
              <w:t>W świetle powyższego, należy również przypomnieć, że zgodnie z art. 67 PP, w przypadku wprowadzania nowych obowiązków administracyjnych wobec przedsiębiorców, projektodawca zobowiązany jest do kierowania się zasadą równoważenia obciążeń administracyjnych. Zasada ta oznacza, że nowe obowiązki mogą być nakładane wyłącznie w zakresie niezbędnym do realizacji celów regulacji, a ich wprowadzenie powinno być kompensowane odpowiednim zniesieniem lub ograniczeniem innych, istniejących obowiązków administracyjnych w tej samej dziedzinie – zgodnie z zasadą „jeden za jeden”. W praktyce oznacza to, że projektodawca powinien podjąć działania mające na celu identyfikację oraz ograniczenie innych obowiązków administracyjnych, tak aby wdrożenie nowych wymogów nie skutkowało nadmiernym wzrostem całkowitego obciążenia biurokratycznego dla przedsiębiorców. W szczególności należy rozważyć możliwość uproszczenia lub zniesienia istniejących formalności w danej dziedzinie, co pozwoli zachować równowagę pomiędzy nowymi a dotychczas obowiązującymi obowiązkami administracyjnymi. Informacje w przedmiotowym zakresie powinny zostać szczegółowo opisane w pkt 8 OSR.</w:t>
            </w:r>
          </w:p>
        </w:tc>
        <w:tc>
          <w:tcPr>
            <w:tcW w:w="3827" w:type="dxa"/>
          </w:tcPr>
          <w:p w14:paraId="0109C385" w14:textId="1578953B" w:rsidR="0059404D" w:rsidRDefault="0059404D" w:rsidP="0042202B">
            <w:pPr>
              <w:rPr>
                <w:rFonts w:cstheme="minorHAnsi"/>
                <w:b/>
              </w:rPr>
            </w:pPr>
            <w:r w:rsidRPr="007B2173">
              <w:rPr>
                <w:rFonts w:cstheme="minorHAnsi"/>
                <w:b/>
              </w:rPr>
              <w:t xml:space="preserve">Uwaga wyjaśniona </w:t>
            </w:r>
            <w:r>
              <w:rPr>
                <w:rFonts w:cstheme="minorHAnsi"/>
                <w:b/>
              </w:rPr>
              <w:t xml:space="preserve">w pkt 8 OSR </w:t>
            </w:r>
            <w:r w:rsidRPr="007B2173">
              <w:rPr>
                <w:rFonts w:cstheme="minorHAnsi"/>
                <w:b/>
              </w:rPr>
              <w:t xml:space="preserve">– </w:t>
            </w:r>
            <w:r>
              <w:rPr>
                <w:rFonts w:cstheme="minorHAnsi"/>
                <w:b/>
              </w:rPr>
              <w:t>art. 45 ust. 1 PP wskazuje, iż:</w:t>
            </w:r>
          </w:p>
          <w:p w14:paraId="1DF36E03" w14:textId="1A2833B2" w:rsidR="0059404D" w:rsidRPr="000A1BF4" w:rsidRDefault="0059404D" w:rsidP="0042202B">
            <w:pPr>
              <w:rPr>
                <w:rFonts w:cstheme="minorHAnsi"/>
                <w:b/>
                <w:i/>
              </w:rPr>
            </w:pPr>
            <w:r>
              <w:rPr>
                <w:rFonts w:cstheme="minorHAnsi"/>
                <w:b/>
                <w:i/>
              </w:rPr>
              <w:t>„</w:t>
            </w:r>
            <w:r w:rsidRPr="00932F3F">
              <w:rPr>
                <w:rFonts w:cstheme="minorHAnsi"/>
                <w:b/>
                <w:i/>
              </w:rPr>
              <w:t>1. Kontrola działalności gospodarczej przedsiębiorców jest przeprowadzana na zasadach określonych w niniejszej ustawie, chyba że zasady i tryb kontroli wynikają z ratyfikowanych umów międzynarodowych albo bezpośrednio stosowanych przepisów prawa Unii Europejskiej.</w:t>
            </w:r>
            <w:r>
              <w:rPr>
                <w:rFonts w:cstheme="minorHAnsi"/>
                <w:b/>
                <w:i/>
              </w:rPr>
              <w:t>”</w:t>
            </w:r>
          </w:p>
          <w:p w14:paraId="0D1D8327" w14:textId="39F83A32" w:rsidR="0059404D" w:rsidRPr="007B2173" w:rsidRDefault="0059404D" w:rsidP="0042202B">
            <w:pPr>
              <w:rPr>
                <w:rFonts w:cstheme="minorHAnsi"/>
                <w:b/>
              </w:rPr>
            </w:pPr>
            <w:r>
              <w:rPr>
                <w:rFonts w:cstheme="minorHAnsi"/>
                <w:b/>
              </w:rPr>
              <w:t>Z</w:t>
            </w:r>
            <w:r w:rsidRPr="007B2173">
              <w:rPr>
                <w:rFonts w:cstheme="minorHAnsi"/>
                <w:b/>
              </w:rPr>
              <w:t>miana przepisów objętych projektem, co skutkuje wprowadzeniem nowych procedur i nałożeniem nowych obowiązków wynika z konieczności zapewnienia zgodności prawa krajowego z prawem UE. I tak:</w:t>
            </w:r>
          </w:p>
          <w:p w14:paraId="06D3C9AF" w14:textId="77777777" w:rsidR="0059404D" w:rsidRPr="007B2173" w:rsidRDefault="0059404D" w:rsidP="0042202B">
            <w:pPr>
              <w:rPr>
                <w:rFonts w:cstheme="minorHAnsi"/>
                <w:b/>
              </w:rPr>
            </w:pPr>
          </w:p>
          <w:p w14:paraId="638BF66E" w14:textId="1CEEF348" w:rsidR="0059404D" w:rsidRPr="007B2173" w:rsidRDefault="0059404D" w:rsidP="0042202B">
            <w:pPr>
              <w:rPr>
                <w:rFonts w:cstheme="minorHAnsi"/>
                <w:b/>
              </w:rPr>
            </w:pPr>
            <w:r w:rsidRPr="007B2173">
              <w:rPr>
                <w:rFonts w:cstheme="minorHAnsi"/>
                <w:b/>
              </w:rPr>
              <w:t xml:space="preserve">- w zakresie objęcia używanych ciągników rolniczych z krajów trzecich procedurą krajowego dopuszczenia indywidualnego nowego pojazdu realizowanego przez </w:t>
            </w:r>
            <w:r>
              <w:rPr>
                <w:rFonts w:cstheme="minorHAnsi"/>
                <w:b/>
              </w:rPr>
              <w:t xml:space="preserve">Dyrektora </w:t>
            </w:r>
            <w:r w:rsidRPr="007B2173">
              <w:rPr>
                <w:rFonts w:cstheme="minorHAnsi"/>
                <w:b/>
              </w:rPr>
              <w:t xml:space="preserve">TDT wynika z definicji nowego pojazdu zawartego w unijnym rozporządzeniu homologacyjnym 167/2013 oraz wyroku TSUE </w:t>
            </w:r>
            <w:bookmarkStart w:id="39" w:name="_Hlk203752816"/>
            <w:r w:rsidRPr="007B2173">
              <w:rPr>
                <w:rFonts w:cstheme="minorHAnsi"/>
                <w:b/>
              </w:rPr>
              <w:t>C-513/15</w:t>
            </w:r>
            <w:bookmarkEnd w:id="39"/>
            <w:r w:rsidRPr="007B2173">
              <w:rPr>
                <w:rFonts w:cstheme="minorHAnsi"/>
                <w:b/>
              </w:rPr>
              <w:t xml:space="preserve">. </w:t>
            </w:r>
          </w:p>
          <w:p w14:paraId="19C8C63E" w14:textId="32C465C7" w:rsidR="0059404D" w:rsidRPr="007B2173" w:rsidRDefault="0059404D" w:rsidP="0042202B">
            <w:pPr>
              <w:rPr>
                <w:rFonts w:cstheme="minorHAnsi"/>
                <w:b/>
              </w:rPr>
            </w:pPr>
            <w:r w:rsidRPr="007B2173">
              <w:rPr>
                <w:rFonts w:cstheme="minorHAnsi"/>
                <w:b/>
              </w:rPr>
              <w:t xml:space="preserve">Temat dopuszczenia do ruchu w Polsce ciągników rolniczych pochodzących z krajów trzecich był również przedmiotem spotkania przedstawicieli Ministerstwa Infrastruktury z KE w czerwcu 2024 r. KE potwierdziła, iż używane ciągniki rolnicze z krajów trzecich powinny być traktowane jako nowe pojazdy na potrzeby ich dopuszczenia do ruchu drogowego w UE. KE oczekuje na wprowadzenie przez Polskę regulacji w tym zakresie. </w:t>
            </w:r>
          </w:p>
          <w:p w14:paraId="5626EEFA" w14:textId="77777777" w:rsidR="0059404D" w:rsidRPr="007B2173" w:rsidRDefault="0059404D" w:rsidP="0042202B">
            <w:pPr>
              <w:rPr>
                <w:rFonts w:cstheme="minorHAnsi"/>
                <w:b/>
              </w:rPr>
            </w:pPr>
          </w:p>
          <w:p w14:paraId="685EDF51" w14:textId="4F655EC8" w:rsidR="0059404D" w:rsidRDefault="0059404D" w:rsidP="0042202B">
            <w:pPr>
              <w:rPr>
                <w:rFonts w:cstheme="minorHAnsi"/>
                <w:b/>
              </w:rPr>
            </w:pPr>
            <w:r w:rsidRPr="007B2173">
              <w:rPr>
                <w:rFonts w:cstheme="minorHAnsi"/>
                <w:b/>
              </w:rPr>
              <w:t>- wprowadzenie regulacji z zakresu nadzoru rynku wynika z konieczności</w:t>
            </w:r>
            <w:r w:rsidRPr="007B2173">
              <w:rPr>
                <w:rFonts w:ascii="Times New Roman" w:eastAsia="Times New Roman" w:hAnsi="Times New Roman"/>
                <w:b/>
                <w:color w:val="000000"/>
                <w:sz w:val="24"/>
                <w:szCs w:val="24"/>
                <w:lang w:val="pl" w:eastAsia="pl-PL"/>
              </w:rPr>
              <w:t xml:space="preserve"> </w:t>
            </w:r>
            <w:r w:rsidRPr="007B2173">
              <w:rPr>
                <w:rFonts w:cstheme="minorHAnsi"/>
                <w:b/>
              </w:rPr>
              <w:t>ustanowienia ramowych zasad funkcjonowania i organizacji krajowego systemu nadzoru rynku produktów objętych unijnym prawodawstwem – w UC95 – w obszarze homologacyjnym w ramach rozporządzenia (UE) 2019/1020. MRiT również od 2022 r. proceduje projekt w zakresie ustanowienia takiego systemu - UC 113, a obecnie UC45</w:t>
            </w:r>
            <w:r>
              <w:rPr>
                <w:rFonts w:cstheme="minorHAnsi"/>
                <w:b/>
              </w:rPr>
              <w:t>.</w:t>
            </w:r>
          </w:p>
          <w:p w14:paraId="7EF20A2D" w14:textId="77777777" w:rsidR="0059404D" w:rsidRPr="007B2173" w:rsidRDefault="0059404D" w:rsidP="0042202B">
            <w:pPr>
              <w:rPr>
                <w:rFonts w:cstheme="minorHAnsi"/>
                <w:b/>
              </w:rPr>
            </w:pPr>
          </w:p>
          <w:p w14:paraId="401DF40A" w14:textId="77777777" w:rsidR="0059404D" w:rsidRDefault="0059404D" w:rsidP="0042202B">
            <w:pPr>
              <w:rPr>
                <w:rFonts w:cstheme="minorHAnsi"/>
                <w:b/>
              </w:rPr>
            </w:pPr>
            <w:r w:rsidRPr="007B2173">
              <w:rPr>
                <w:rFonts w:cstheme="minorHAnsi"/>
                <w:b/>
              </w:rPr>
              <w:t xml:space="preserve">- ustanowienie nowej procedury krajowego indywidualnego dopuszczenia w odniesieniu do używanych pojazdów z krajów trzecich jest zgodne ze stanowiskiem KE, jakie MI uzyskało w 2025 r., wskazując na potrzebę całkowitej harmonizacji unijnych przepisów homologacyjnych dla wszystkich używanych pojazdów sprowadzanych spoza UE. </w:t>
            </w:r>
          </w:p>
          <w:p w14:paraId="4E59F296" w14:textId="2BB70976" w:rsidR="0059404D" w:rsidRPr="007B2173" w:rsidRDefault="0059404D" w:rsidP="0042202B">
            <w:pPr>
              <w:rPr>
                <w:rFonts w:cstheme="minorHAnsi"/>
                <w:b/>
              </w:rPr>
            </w:pPr>
          </w:p>
        </w:tc>
        <w:tc>
          <w:tcPr>
            <w:tcW w:w="3686" w:type="dxa"/>
          </w:tcPr>
          <w:p w14:paraId="26FF4AD5" w14:textId="3F0310EE" w:rsidR="0059404D" w:rsidRPr="007B2173" w:rsidRDefault="00A15299" w:rsidP="0042202B">
            <w:pPr>
              <w:rPr>
                <w:rFonts w:cstheme="minorHAnsi"/>
                <w:b/>
              </w:rPr>
            </w:pPr>
            <w:r>
              <w:rPr>
                <w:rFonts w:cstheme="minorHAnsi"/>
                <w:b/>
              </w:rPr>
              <w:t>Akceptacja</w:t>
            </w:r>
          </w:p>
        </w:tc>
      </w:tr>
      <w:tr w:rsidR="0059404D" w:rsidRPr="00F515D6" w14:paraId="1A24836C" w14:textId="2AE69310" w:rsidTr="00D76FE7">
        <w:tc>
          <w:tcPr>
            <w:tcW w:w="562" w:type="dxa"/>
          </w:tcPr>
          <w:p w14:paraId="310EC4C6" w14:textId="36231DFE" w:rsidR="0059404D" w:rsidRPr="00931D6C" w:rsidRDefault="0059404D" w:rsidP="0042202B">
            <w:pPr>
              <w:rPr>
                <w:rFonts w:cstheme="minorHAnsi"/>
                <w:b/>
              </w:rPr>
            </w:pPr>
            <w:r w:rsidRPr="00931D6C">
              <w:rPr>
                <w:rFonts w:cstheme="minorHAnsi"/>
                <w:b/>
              </w:rPr>
              <w:t>42</w:t>
            </w:r>
          </w:p>
        </w:tc>
        <w:tc>
          <w:tcPr>
            <w:tcW w:w="993" w:type="dxa"/>
          </w:tcPr>
          <w:p w14:paraId="1E9FB546" w14:textId="77777777" w:rsidR="0059404D" w:rsidRPr="00931D6C" w:rsidRDefault="0059404D" w:rsidP="0042202B">
            <w:pPr>
              <w:rPr>
                <w:rFonts w:cstheme="minorHAnsi"/>
                <w:b/>
              </w:rPr>
            </w:pPr>
            <w:r w:rsidRPr="00931D6C">
              <w:rPr>
                <w:rFonts w:cstheme="minorHAnsi"/>
                <w:b/>
              </w:rPr>
              <w:t>MC</w:t>
            </w:r>
          </w:p>
        </w:tc>
        <w:tc>
          <w:tcPr>
            <w:tcW w:w="1701" w:type="dxa"/>
          </w:tcPr>
          <w:p w14:paraId="6FFA13FF" w14:textId="77777777" w:rsidR="0059404D" w:rsidRPr="00931D6C" w:rsidRDefault="0059404D" w:rsidP="0042202B">
            <w:pPr>
              <w:rPr>
                <w:rFonts w:cstheme="minorHAnsi"/>
                <w:b/>
              </w:rPr>
            </w:pPr>
            <w:r w:rsidRPr="00931D6C">
              <w:rPr>
                <w:rFonts w:cstheme="minorHAnsi"/>
                <w:b/>
              </w:rPr>
              <w:t>Art. 2 lit. e  UH</w:t>
            </w:r>
          </w:p>
          <w:p w14:paraId="67DE081C" w14:textId="77777777" w:rsidR="0059404D" w:rsidRPr="00931D6C" w:rsidRDefault="0059404D" w:rsidP="0042202B">
            <w:pPr>
              <w:pStyle w:val="Akapitzlist"/>
              <w:spacing w:line="240" w:lineRule="auto"/>
              <w:rPr>
                <w:rFonts w:cstheme="minorHAnsi"/>
                <w:b/>
                <w:sz w:val="22"/>
                <w:szCs w:val="22"/>
              </w:rPr>
            </w:pPr>
          </w:p>
        </w:tc>
        <w:tc>
          <w:tcPr>
            <w:tcW w:w="5953" w:type="dxa"/>
          </w:tcPr>
          <w:p w14:paraId="4BE9F85B" w14:textId="77777777" w:rsidR="0059404D" w:rsidRPr="00931D6C" w:rsidRDefault="0059404D" w:rsidP="0042202B">
            <w:pPr>
              <w:rPr>
                <w:rFonts w:cstheme="minorHAnsi"/>
                <w:b/>
              </w:rPr>
            </w:pPr>
            <w:r w:rsidRPr="00931D6C">
              <w:rPr>
                <w:rFonts w:cstheme="minorHAnsi"/>
                <w:b/>
              </w:rPr>
              <w:t>Nieprawidłowo oznaczone punkty w poleceniu nowelizacyjnym brakuje odesłania do pkt 41</w:t>
            </w:r>
          </w:p>
          <w:p w14:paraId="69E9A142" w14:textId="77777777" w:rsidR="0059404D" w:rsidRPr="00931D6C" w:rsidRDefault="0059404D" w:rsidP="0042202B">
            <w:pPr>
              <w:rPr>
                <w:rFonts w:cstheme="minorHAnsi"/>
                <w:b/>
                <w:i/>
              </w:rPr>
            </w:pPr>
            <w:r w:rsidRPr="00931D6C">
              <w:rPr>
                <w:rFonts w:cstheme="minorHAnsi"/>
                <w:b/>
                <w:i/>
              </w:rPr>
              <w:t>„w pkt 34 kropkę zastępuje się średnikiem i dodaje się pkt 35–41 w brzmieniu:”.</w:t>
            </w:r>
          </w:p>
        </w:tc>
        <w:tc>
          <w:tcPr>
            <w:tcW w:w="3827" w:type="dxa"/>
          </w:tcPr>
          <w:p w14:paraId="42DC57E3" w14:textId="40DA31B4" w:rsidR="0059404D" w:rsidRPr="00931D6C" w:rsidRDefault="0059404D" w:rsidP="0042202B">
            <w:pPr>
              <w:rPr>
                <w:rFonts w:cstheme="minorHAnsi"/>
                <w:b/>
              </w:rPr>
            </w:pPr>
            <w:r w:rsidRPr="00931D6C">
              <w:rPr>
                <w:rFonts w:cstheme="minorHAnsi"/>
                <w:b/>
              </w:rPr>
              <w:t xml:space="preserve">Uwaga uwzględniona poprzez zmianę brzmienia. </w:t>
            </w:r>
          </w:p>
        </w:tc>
        <w:tc>
          <w:tcPr>
            <w:tcW w:w="3686" w:type="dxa"/>
          </w:tcPr>
          <w:p w14:paraId="6AA4A3CD" w14:textId="141DA15D" w:rsidR="0059404D" w:rsidRPr="00931D6C" w:rsidRDefault="00CB529C" w:rsidP="0042202B">
            <w:pPr>
              <w:rPr>
                <w:rFonts w:cstheme="minorHAnsi"/>
                <w:b/>
              </w:rPr>
            </w:pPr>
            <w:r>
              <w:rPr>
                <w:rFonts w:cstheme="minorHAnsi"/>
                <w:b/>
              </w:rPr>
              <w:t xml:space="preserve">Akceptacja </w:t>
            </w:r>
          </w:p>
        </w:tc>
      </w:tr>
      <w:tr w:rsidR="0059404D" w:rsidRPr="00F515D6" w14:paraId="5A1CF6EC" w14:textId="492CEB41" w:rsidTr="00D76FE7">
        <w:tc>
          <w:tcPr>
            <w:tcW w:w="562" w:type="dxa"/>
          </w:tcPr>
          <w:p w14:paraId="05D2858D" w14:textId="29638208" w:rsidR="0059404D" w:rsidRPr="0031007E" w:rsidRDefault="0059404D" w:rsidP="0042202B">
            <w:pPr>
              <w:rPr>
                <w:rFonts w:cstheme="minorHAnsi"/>
                <w:b/>
              </w:rPr>
            </w:pPr>
            <w:r w:rsidRPr="0031007E">
              <w:rPr>
                <w:rFonts w:cstheme="minorHAnsi"/>
                <w:b/>
              </w:rPr>
              <w:t>43</w:t>
            </w:r>
          </w:p>
        </w:tc>
        <w:tc>
          <w:tcPr>
            <w:tcW w:w="993" w:type="dxa"/>
          </w:tcPr>
          <w:p w14:paraId="2EA97CCC" w14:textId="77777777" w:rsidR="0059404D" w:rsidRDefault="0059404D" w:rsidP="0042202B">
            <w:pPr>
              <w:rPr>
                <w:rFonts w:cstheme="minorHAnsi"/>
                <w:b/>
              </w:rPr>
            </w:pPr>
            <w:r w:rsidRPr="0031007E">
              <w:rPr>
                <w:rFonts w:cstheme="minorHAnsi"/>
                <w:b/>
              </w:rPr>
              <w:t>MC</w:t>
            </w:r>
          </w:p>
          <w:p w14:paraId="2D88A7AA" w14:textId="02CAFFDC" w:rsidR="0059404D" w:rsidRDefault="0059404D" w:rsidP="0042202B">
            <w:pPr>
              <w:rPr>
                <w:rFonts w:cstheme="minorHAnsi"/>
                <w:b/>
                <w:color w:val="00B050"/>
              </w:rPr>
            </w:pPr>
            <w:r>
              <w:rPr>
                <w:rFonts w:cstheme="minorHAnsi"/>
                <w:b/>
                <w:color w:val="00B050"/>
              </w:rPr>
              <w:t>+ uwaga 4 RCL (art. 3 ust. 4)</w:t>
            </w:r>
          </w:p>
          <w:p w14:paraId="30D32527" w14:textId="77777777" w:rsidR="0059404D" w:rsidRDefault="0059404D" w:rsidP="0042202B">
            <w:pPr>
              <w:rPr>
                <w:rFonts w:cstheme="minorHAnsi"/>
                <w:b/>
                <w:color w:val="00B050"/>
              </w:rPr>
            </w:pPr>
          </w:p>
          <w:p w14:paraId="466F64E6" w14:textId="15BB298E" w:rsidR="0059404D" w:rsidRDefault="0059404D" w:rsidP="0042202B">
            <w:pPr>
              <w:rPr>
                <w:rFonts w:cstheme="minorHAnsi"/>
                <w:b/>
                <w:color w:val="00B050"/>
              </w:rPr>
            </w:pPr>
            <w:r>
              <w:rPr>
                <w:rFonts w:cstheme="minorHAnsi"/>
                <w:b/>
                <w:color w:val="00B050"/>
              </w:rPr>
              <w:t>+ uwaga 122 MS (art. 3 ust. 4)</w:t>
            </w:r>
          </w:p>
          <w:p w14:paraId="24F2A404" w14:textId="77777777" w:rsidR="0059404D" w:rsidRDefault="0059404D" w:rsidP="0042202B">
            <w:pPr>
              <w:rPr>
                <w:rFonts w:cstheme="minorHAnsi"/>
                <w:b/>
                <w:color w:val="00B050"/>
              </w:rPr>
            </w:pPr>
          </w:p>
          <w:p w14:paraId="6C761E84" w14:textId="77777777" w:rsidR="0059404D" w:rsidRDefault="0059404D" w:rsidP="0042202B">
            <w:pPr>
              <w:rPr>
                <w:rFonts w:cstheme="minorHAnsi"/>
                <w:b/>
                <w:color w:val="00B050"/>
              </w:rPr>
            </w:pPr>
          </w:p>
          <w:p w14:paraId="0A7D96B5" w14:textId="77777777" w:rsidR="0059404D" w:rsidRDefault="0059404D" w:rsidP="0042202B">
            <w:pPr>
              <w:rPr>
                <w:rFonts w:cstheme="minorHAnsi"/>
                <w:b/>
                <w:color w:val="00B050"/>
              </w:rPr>
            </w:pPr>
            <w:r>
              <w:rPr>
                <w:rFonts w:cstheme="minorHAnsi"/>
                <w:b/>
                <w:color w:val="00B050"/>
              </w:rPr>
              <w:t>+ uwaga 14 RCL (art. 68s ust. 2-3)</w:t>
            </w:r>
          </w:p>
          <w:p w14:paraId="3FDC1A3F" w14:textId="47425496" w:rsidR="0059404D" w:rsidRDefault="0059404D" w:rsidP="0042202B">
            <w:pPr>
              <w:rPr>
                <w:rFonts w:cstheme="minorHAnsi"/>
                <w:b/>
                <w:color w:val="00B050"/>
              </w:rPr>
            </w:pPr>
          </w:p>
          <w:p w14:paraId="79E7A6B2" w14:textId="77777777" w:rsidR="0059404D" w:rsidRDefault="0059404D" w:rsidP="0042202B">
            <w:r>
              <w:rPr>
                <w:rFonts w:cstheme="minorHAnsi"/>
                <w:b/>
                <w:color w:val="00B050"/>
              </w:rPr>
              <w:t>+ uwaga 126 MSZ (art. 68s ust. 2)</w:t>
            </w:r>
          </w:p>
          <w:p w14:paraId="785A385A" w14:textId="4039335D" w:rsidR="0059404D" w:rsidRPr="00D95F66" w:rsidRDefault="0059404D" w:rsidP="0042202B">
            <w:pPr>
              <w:rPr>
                <w:rFonts w:cstheme="minorHAnsi"/>
                <w:b/>
                <w:color w:val="00B050"/>
              </w:rPr>
            </w:pPr>
          </w:p>
        </w:tc>
        <w:tc>
          <w:tcPr>
            <w:tcW w:w="1701" w:type="dxa"/>
          </w:tcPr>
          <w:p w14:paraId="3830D57F" w14:textId="77777777" w:rsidR="0059404D" w:rsidRPr="0031007E" w:rsidRDefault="0059404D" w:rsidP="0042202B">
            <w:pPr>
              <w:rPr>
                <w:rFonts w:cstheme="minorHAnsi"/>
                <w:b/>
              </w:rPr>
            </w:pPr>
            <w:r w:rsidRPr="0031007E">
              <w:rPr>
                <w:rFonts w:eastAsia="Calibri" w:cstheme="minorHAnsi"/>
                <w:b/>
              </w:rPr>
              <w:t xml:space="preserve">Art. 3 ust. 4, art. 68s ust. 2 i 3 </w:t>
            </w:r>
            <w:r w:rsidRPr="0031007E">
              <w:rPr>
                <w:rFonts w:cstheme="minorHAnsi"/>
                <w:b/>
              </w:rPr>
              <w:t xml:space="preserve"> UH</w:t>
            </w:r>
          </w:p>
        </w:tc>
        <w:tc>
          <w:tcPr>
            <w:tcW w:w="5953" w:type="dxa"/>
          </w:tcPr>
          <w:p w14:paraId="4929B275" w14:textId="1353FF45" w:rsidR="0059404D" w:rsidRPr="0031007E" w:rsidRDefault="0059404D" w:rsidP="0042202B">
            <w:pPr>
              <w:rPr>
                <w:rFonts w:eastAsia="Calibri" w:cstheme="minorHAnsi"/>
                <w:b/>
              </w:rPr>
            </w:pPr>
            <w:r w:rsidRPr="0031007E">
              <w:rPr>
                <w:rFonts w:eastAsia="Calibri" w:cstheme="minorHAnsi"/>
                <w:b/>
              </w:rPr>
              <w:t xml:space="preserve">Projektowane przepisy przyznają Dyrektorowi Transportowego Dozoru Technicznego (dalej jako „TDT”) </w:t>
            </w:r>
            <w:r w:rsidRPr="005B3C61">
              <w:rPr>
                <w:rFonts w:eastAsia="Calibri" w:cstheme="minorHAnsi"/>
                <w:b/>
              </w:rPr>
              <w:t>bardzo szerokie uprawnienia do pozyskiwania bez ograniczeń danych osobowych od praktycznie wszystkich podmiotów sektora publicznego.</w:t>
            </w:r>
            <w:r w:rsidRPr="0031007E">
              <w:rPr>
                <w:rFonts w:eastAsia="Calibri" w:cstheme="minorHAnsi"/>
                <w:b/>
              </w:rPr>
              <w:t xml:space="preserve"> Sformułowania takie jak „informacje w sprawach indywidualnych” (art. 3 ust. 4) oraz „dane o osobie [...] uzyskane przez inne organy, służby i instytucje państwowe” (art. 68s ust. 2) są blankietowe i nieprecyzyjne. Takie rozwiązania mogą stanowić naruszenie zasady minimalizacji danych (art. 5 ust. 1 lit. c RODO) oraz zasady legalizmu, rzetelności i przejrzystości (art. 5 ust. 1 lit. a RODO).Zasada legalizmu wymaga, aby podstawa prawna do przetwarzania danych była nie tylko formalnie poprawna (zawarta w ustawie), ale również wystarczająco precyzyjna, aby obywatele mogli przewidzieć, w jakich okolicznościach ich dane mogą być przetwarzane. Obecne sformułowania nie spełniają tego wymogu. Pozwalają one Dyrektorowi TDT na żądanie praktycznie nieograniczonych danych o osobie fizycznej.</w:t>
            </w:r>
          </w:p>
          <w:p w14:paraId="5FAFFF9A" w14:textId="77777777" w:rsidR="0059404D" w:rsidRPr="0031007E" w:rsidRDefault="0059404D" w:rsidP="0042202B">
            <w:pPr>
              <w:rPr>
                <w:rFonts w:eastAsia="Calibri" w:cstheme="minorHAnsi"/>
                <w:b/>
              </w:rPr>
            </w:pPr>
            <w:r w:rsidRPr="0031007E">
              <w:rPr>
                <w:rFonts w:eastAsia="Calibri" w:cstheme="minorHAnsi"/>
                <w:b/>
              </w:rPr>
              <w:t>Taka konstrukcja prawna stwarza ryzyko pozyskiwania danych w sposób nadmiarowy i nieproporcjonalny do celów prowadzonych postępowań (nadzór rynku). Prawo powinno precyzyjnie określać ramy i zasady dla wymiany danych osobowych między organami, aby chronić prywatność obywateli przed arbitralnym działaniem administracji.</w:t>
            </w:r>
          </w:p>
          <w:p w14:paraId="7DEDB39F" w14:textId="4597619B" w:rsidR="0059404D" w:rsidRPr="0031007E" w:rsidRDefault="0059404D" w:rsidP="0042202B">
            <w:pPr>
              <w:rPr>
                <w:rFonts w:eastAsia="Calibri" w:cstheme="minorHAnsi"/>
                <w:b/>
              </w:rPr>
            </w:pPr>
            <w:r w:rsidRPr="0031007E">
              <w:rPr>
                <w:rFonts w:eastAsia="Calibri" w:cstheme="minorHAnsi"/>
                <w:b/>
              </w:rPr>
              <w:t>Proponuje się precyzyjnie określić rodzaje rejestrów lub ewidencji, z jakich dane mogą być pozyskiwane, zamknięty i ograniczony do niezbędnego minimum katalog danych, które mogą być udostępniane oraz szczegółowe przesłanki (rodzaje spraw) uzasadniające konieczność pozyskania danych osobowych w konkretnym postępowaniu.</w:t>
            </w:r>
          </w:p>
        </w:tc>
        <w:tc>
          <w:tcPr>
            <w:tcW w:w="3827" w:type="dxa"/>
          </w:tcPr>
          <w:p w14:paraId="4E01A278" w14:textId="77777777" w:rsidR="0059404D" w:rsidRPr="0031007E" w:rsidRDefault="0059404D" w:rsidP="0042202B">
            <w:pPr>
              <w:rPr>
                <w:b/>
              </w:rPr>
            </w:pPr>
            <w:r w:rsidRPr="0031007E">
              <w:rPr>
                <w:b/>
              </w:rPr>
              <w:t>Uwaga nieuwzględniona - Administrator, w tym przypadku TDT, będzie przetwarzał dane na podstawie obowiązku prawnego, o którym mowa w art. 6 ust. 1 lit. c RODO.</w:t>
            </w:r>
            <w:r w:rsidRPr="0031007E">
              <w:rPr>
                <w:rFonts w:ascii="EUAlbertina" w:hAnsi="EUAlbertina"/>
                <w:b/>
                <w:color w:val="000000"/>
                <w:sz w:val="19"/>
                <w:szCs w:val="19"/>
              </w:rPr>
              <w:t xml:space="preserve"> </w:t>
            </w:r>
            <w:r w:rsidRPr="0031007E">
              <w:rPr>
                <w:b/>
              </w:rPr>
              <w:t>RODO nie nakłada wymogu, aby dla każdego indywidualnego przetwarzania istniało szczegółowe uregulowanie prawne. Wystarczyć może to, że dane uregulowanie prawne stanowią podstawę różnych operacji przetwarzania wynikających z obowiązku prawnego, któremu podlega administrator, jak w opisanym przypadku.</w:t>
            </w:r>
          </w:p>
          <w:p w14:paraId="5316D9C7" w14:textId="1E3D8B2F" w:rsidR="0059404D" w:rsidRDefault="0059404D" w:rsidP="0042202B">
            <w:pPr>
              <w:tabs>
                <w:tab w:val="left" w:pos="2909"/>
              </w:tabs>
              <w:rPr>
                <w:rFonts w:cstheme="minorHAnsi"/>
                <w:b/>
              </w:rPr>
            </w:pPr>
            <w:r>
              <w:rPr>
                <w:rFonts w:cstheme="minorHAnsi"/>
                <w:b/>
              </w:rPr>
              <w:tab/>
            </w:r>
          </w:p>
          <w:p w14:paraId="443387B8" w14:textId="77777777" w:rsidR="0059404D" w:rsidRPr="002B00EB" w:rsidRDefault="0059404D" w:rsidP="0042202B">
            <w:pPr>
              <w:rPr>
                <w:b/>
              </w:rPr>
            </w:pPr>
            <w:r w:rsidRPr="002B00EB">
              <w:rPr>
                <w:b/>
              </w:rPr>
              <w:t>Powyższe oznacza, że zasady legalizmu, rzetelności i przejrzystości (art. 5 ust. 1 lit. a RODO), czyli zgodności z prawem są zachowane –Dyrektor TDT, będzie przetwarzał dane na podstawie obowiązku prawnego, o którym mowa w art. 6 ust. 1 lit. c RODO, obowiązek ten wynikać będzie wprost z przepisu prawa (zasada legalizmu).</w:t>
            </w:r>
          </w:p>
          <w:p w14:paraId="07EA8087" w14:textId="77777777" w:rsidR="0059404D" w:rsidRPr="002B00EB" w:rsidRDefault="0059404D" w:rsidP="0042202B">
            <w:pPr>
              <w:rPr>
                <w:b/>
              </w:rPr>
            </w:pPr>
          </w:p>
          <w:p w14:paraId="4A5176FC" w14:textId="77777777" w:rsidR="0059404D" w:rsidRPr="002B00EB" w:rsidRDefault="0059404D" w:rsidP="0042202B">
            <w:pPr>
              <w:rPr>
                <w:b/>
              </w:rPr>
            </w:pPr>
            <w:r w:rsidRPr="002B00EB">
              <w:rPr>
                <w:b/>
              </w:rPr>
              <w:t>Nie można zgodzić się z tym, że Dyrektor TDT będzie mógł żądać „</w:t>
            </w:r>
            <w:r w:rsidRPr="002B00EB">
              <w:rPr>
                <w:b/>
                <w:i/>
                <w:iCs/>
              </w:rPr>
              <w:t>praktycznie nieograniczonych danych o osobie fizycznej”</w:t>
            </w:r>
            <w:r w:rsidRPr="002B00EB">
              <w:rPr>
                <w:b/>
              </w:rPr>
              <w:t>, pomijając zasadę rzetelności i przejrzystości.</w:t>
            </w:r>
          </w:p>
          <w:p w14:paraId="324E8760" w14:textId="77777777" w:rsidR="0059404D" w:rsidRPr="002B00EB" w:rsidRDefault="0059404D" w:rsidP="0042202B">
            <w:pPr>
              <w:rPr>
                <w:b/>
              </w:rPr>
            </w:pPr>
            <w:r w:rsidRPr="002B00EB">
              <w:rPr>
                <w:b/>
              </w:rPr>
              <w:t>Dyrektor TDT wykonując ustawowe czynności, jako organ w zakresie nadzoru rynku, będzie korzystał tylko z takich danych, które będą niezbędne do ich wykonywania, np. nie będzie mu do tego potrzebny odpis aktu stanu cywilnego (urodzenia, małżeństwa, zgonu), ale już nr VIN pojazdu tak.</w:t>
            </w:r>
          </w:p>
          <w:p w14:paraId="09AC41F3" w14:textId="77777777" w:rsidR="0059404D" w:rsidRPr="002B00EB" w:rsidRDefault="0059404D" w:rsidP="0042202B">
            <w:pPr>
              <w:rPr>
                <w:b/>
              </w:rPr>
            </w:pPr>
          </w:p>
          <w:p w14:paraId="3A11493D" w14:textId="48A93A3B" w:rsidR="0059404D" w:rsidRPr="00D379CE" w:rsidRDefault="0059404D" w:rsidP="0042202B">
            <w:pPr>
              <w:rPr>
                <w:b/>
              </w:rPr>
            </w:pPr>
            <w:r w:rsidRPr="002B00EB">
              <w:rPr>
                <w:b/>
              </w:rPr>
              <w:t>Zasada rzetelności i przejrzystości, wymaga podejścia</w:t>
            </w:r>
            <w:r>
              <w:rPr>
                <w:b/>
              </w:rPr>
              <w:t xml:space="preserve"> </w:t>
            </w:r>
            <w:r w:rsidRPr="002B00EB">
              <w:rPr>
                <w:b/>
              </w:rPr>
              <w:t>„zdroworozsądkowego”, co oznacza, że organ korzysta z danych osobowych w sposób uczciwy, rzetelny i lojalny w relacjach z podmiotami danych (vide powyższy przykład), a podstawa prawna przetwarzania jest dla nich zrozumiała (w niniejszym przypadku wynika wprost z przepisu prawa).</w:t>
            </w:r>
            <w:r>
              <w:rPr>
                <w:b/>
              </w:rPr>
              <w:t xml:space="preserve"> </w:t>
            </w:r>
          </w:p>
          <w:p w14:paraId="2310E48F" w14:textId="511CA5F0" w:rsidR="0059404D" w:rsidRPr="0031007E" w:rsidRDefault="0059404D" w:rsidP="0042202B">
            <w:pPr>
              <w:rPr>
                <w:rFonts w:cstheme="minorHAnsi"/>
                <w:b/>
              </w:rPr>
            </w:pPr>
            <w:r w:rsidRPr="0031007E">
              <w:rPr>
                <w:rFonts w:cstheme="minorHAnsi"/>
                <w:b/>
              </w:rPr>
              <w:t>Prezes Urzędu Ochrony Danych Osobowych nie zgłosił uwag do UC95</w:t>
            </w:r>
          </w:p>
        </w:tc>
        <w:tc>
          <w:tcPr>
            <w:tcW w:w="3686" w:type="dxa"/>
          </w:tcPr>
          <w:p w14:paraId="0C1AE57A" w14:textId="77777777" w:rsidR="001010BE" w:rsidRDefault="00A15299" w:rsidP="0042202B">
            <w:pPr>
              <w:rPr>
                <w:b/>
              </w:rPr>
            </w:pPr>
            <w:r>
              <w:rPr>
                <w:b/>
              </w:rPr>
              <w:t xml:space="preserve">Temat do wyjaśnienia z UODO – MI prześle MC wyniki ustaleń z UODO. </w:t>
            </w:r>
          </w:p>
          <w:p w14:paraId="4789C381" w14:textId="77777777" w:rsidR="001010BE" w:rsidRDefault="001010BE" w:rsidP="0042202B">
            <w:pPr>
              <w:rPr>
                <w:b/>
              </w:rPr>
            </w:pPr>
          </w:p>
          <w:p w14:paraId="5B49F926" w14:textId="18225F65" w:rsidR="0059404D" w:rsidRPr="0031007E" w:rsidRDefault="001010BE" w:rsidP="0042202B">
            <w:pPr>
              <w:rPr>
                <w:b/>
              </w:rPr>
            </w:pPr>
            <w:r w:rsidRPr="001010BE">
              <w:rPr>
                <w:b/>
                <w:color w:val="0070C0"/>
              </w:rPr>
              <w:t>Przekazan</w:t>
            </w:r>
            <w:r w:rsidR="00F96EBD">
              <w:rPr>
                <w:b/>
                <w:color w:val="0070C0"/>
              </w:rPr>
              <w:t>o</w:t>
            </w:r>
            <w:r w:rsidRPr="001010BE">
              <w:rPr>
                <w:b/>
                <w:color w:val="0070C0"/>
              </w:rPr>
              <w:t xml:space="preserve"> MC korespondencję z UODO oraz propozycj</w:t>
            </w:r>
            <w:r w:rsidR="00F96EBD">
              <w:rPr>
                <w:b/>
                <w:color w:val="0070C0"/>
              </w:rPr>
              <w:t>ę</w:t>
            </w:r>
            <w:r w:rsidRPr="001010BE">
              <w:rPr>
                <w:b/>
                <w:color w:val="0070C0"/>
              </w:rPr>
              <w:t xml:space="preserve"> zmian</w:t>
            </w:r>
            <w:r>
              <w:rPr>
                <w:b/>
                <w:color w:val="0070C0"/>
              </w:rPr>
              <w:t xml:space="preserve">y art. </w:t>
            </w:r>
            <w:r w:rsidR="00F96EBD">
              <w:rPr>
                <w:b/>
                <w:color w:val="0070C0"/>
              </w:rPr>
              <w:t>68v</w:t>
            </w:r>
            <w:r w:rsidRPr="001010BE">
              <w:rPr>
                <w:b/>
                <w:color w:val="0070C0"/>
              </w:rPr>
              <w:t xml:space="preserve"> – akceptacja MC</w:t>
            </w:r>
            <w:r w:rsidR="00C90A4B">
              <w:rPr>
                <w:b/>
                <w:color w:val="0070C0"/>
              </w:rPr>
              <w:t>, do uzasadnienia zakres danych</w:t>
            </w:r>
            <w:r w:rsidRPr="001010BE">
              <w:rPr>
                <w:b/>
                <w:color w:val="0070C0"/>
              </w:rPr>
              <w:t xml:space="preserve">. </w:t>
            </w:r>
            <w:r w:rsidR="0072272C" w:rsidRPr="001010BE">
              <w:rPr>
                <w:b/>
                <w:color w:val="0070C0"/>
              </w:rPr>
              <w:t xml:space="preserve"> </w:t>
            </w:r>
          </w:p>
        </w:tc>
      </w:tr>
      <w:tr w:rsidR="0059404D" w:rsidRPr="00F515D6" w14:paraId="36CC348D" w14:textId="3FE80D28" w:rsidTr="00D76FE7">
        <w:tc>
          <w:tcPr>
            <w:tcW w:w="562" w:type="dxa"/>
          </w:tcPr>
          <w:p w14:paraId="2439A5AF" w14:textId="77777777" w:rsidR="0059404D" w:rsidRPr="00931D6C" w:rsidRDefault="0059404D" w:rsidP="0042202B">
            <w:pPr>
              <w:rPr>
                <w:rFonts w:cstheme="minorHAnsi"/>
                <w:b/>
              </w:rPr>
            </w:pPr>
            <w:r w:rsidRPr="00931D6C">
              <w:rPr>
                <w:rFonts w:cstheme="minorHAnsi"/>
                <w:b/>
              </w:rPr>
              <w:t>45</w:t>
            </w:r>
          </w:p>
        </w:tc>
        <w:tc>
          <w:tcPr>
            <w:tcW w:w="993" w:type="dxa"/>
          </w:tcPr>
          <w:p w14:paraId="5295FE45" w14:textId="77777777" w:rsidR="0059404D" w:rsidRPr="00931D6C" w:rsidRDefault="0059404D" w:rsidP="0042202B">
            <w:pPr>
              <w:rPr>
                <w:rFonts w:cstheme="minorHAnsi"/>
                <w:b/>
              </w:rPr>
            </w:pPr>
            <w:r w:rsidRPr="00931D6C">
              <w:rPr>
                <w:rFonts w:cstheme="minorHAnsi"/>
                <w:b/>
              </w:rPr>
              <w:t>MC</w:t>
            </w:r>
          </w:p>
        </w:tc>
        <w:tc>
          <w:tcPr>
            <w:tcW w:w="1701" w:type="dxa"/>
          </w:tcPr>
          <w:p w14:paraId="5F4872C8" w14:textId="77777777" w:rsidR="0059404D" w:rsidRPr="00931D6C" w:rsidRDefault="0059404D" w:rsidP="0042202B">
            <w:pPr>
              <w:rPr>
                <w:rFonts w:cstheme="minorHAnsi"/>
                <w:b/>
              </w:rPr>
            </w:pPr>
            <w:r w:rsidRPr="00931D6C">
              <w:rPr>
                <w:rFonts w:cstheme="minorHAnsi"/>
                <w:b/>
              </w:rPr>
              <w:t xml:space="preserve">Art. 27 ust. 1 pkt 3a  UH   </w:t>
            </w:r>
          </w:p>
        </w:tc>
        <w:tc>
          <w:tcPr>
            <w:tcW w:w="5953" w:type="dxa"/>
          </w:tcPr>
          <w:p w14:paraId="79685B10" w14:textId="77777777" w:rsidR="0059404D" w:rsidRPr="00931D6C" w:rsidRDefault="0059404D" w:rsidP="0042202B">
            <w:pPr>
              <w:rPr>
                <w:rFonts w:cstheme="minorHAnsi"/>
                <w:b/>
              </w:rPr>
            </w:pPr>
            <w:bookmarkStart w:id="40" w:name="_Hlk219121661"/>
            <w:r w:rsidRPr="00931D6C">
              <w:rPr>
                <w:rFonts w:cstheme="minorHAnsi"/>
                <w:b/>
              </w:rPr>
              <w:t>Sformułowanie; „Obowiązku, o którym mowa w pkt 2 i 3 w zakresie zastosowania postaci papierowej tych dokumentów, nie stosuje się;” wydaje się niepoprawne gramatycznie. Obowiązku nie można stosować lub nie stosować. Stosować można przepisy, a nie „obowiązki”.</w:t>
            </w:r>
          </w:p>
          <w:p w14:paraId="337A710B" w14:textId="0AB87412" w:rsidR="0059404D" w:rsidRPr="00931D6C" w:rsidRDefault="0059404D" w:rsidP="0042202B">
            <w:pPr>
              <w:rPr>
                <w:rFonts w:cstheme="minorHAnsi"/>
                <w:b/>
                <w:i/>
              </w:rPr>
            </w:pPr>
            <w:r w:rsidRPr="00931D6C">
              <w:rPr>
                <w:rFonts w:cstheme="minorHAnsi"/>
                <w:b/>
                <w:i/>
              </w:rPr>
              <w:t>„Przepisu pkt 2 i 3 w zakresie obowiązku stosowania postaci papierowej dokumentów nie stosuje się.”.</w:t>
            </w:r>
            <w:bookmarkEnd w:id="40"/>
          </w:p>
        </w:tc>
        <w:tc>
          <w:tcPr>
            <w:tcW w:w="3827" w:type="dxa"/>
          </w:tcPr>
          <w:p w14:paraId="7B4F9320" w14:textId="15C0065F" w:rsidR="0059404D" w:rsidRPr="00931D6C" w:rsidRDefault="0059404D" w:rsidP="0042202B">
            <w:pPr>
              <w:rPr>
                <w:rFonts w:cstheme="minorHAnsi"/>
                <w:b/>
              </w:rPr>
            </w:pPr>
            <w:r w:rsidRPr="00931D6C">
              <w:rPr>
                <w:rFonts w:cstheme="minorHAnsi"/>
                <w:b/>
              </w:rPr>
              <w:t xml:space="preserve">Uwaga uwzględniona. </w:t>
            </w:r>
          </w:p>
        </w:tc>
        <w:tc>
          <w:tcPr>
            <w:tcW w:w="3686" w:type="dxa"/>
          </w:tcPr>
          <w:p w14:paraId="444D9604" w14:textId="6BAAE22D" w:rsidR="0059404D" w:rsidRPr="00931D6C" w:rsidRDefault="0072272C" w:rsidP="0042202B">
            <w:pPr>
              <w:rPr>
                <w:rFonts w:cstheme="minorHAnsi"/>
                <w:b/>
              </w:rPr>
            </w:pPr>
            <w:r>
              <w:rPr>
                <w:rFonts w:cstheme="minorHAnsi"/>
                <w:b/>
              </w:rPr>
              <w:t xml:space="preserve">Akceptacja </w:t>
            </w:r>
          </w:p>
        </w:tc>
      </w:tr>
      <w:tr w:rsidR="0059404D" w:rsidRPr="00F515D6" w14:paraId="6EF1CE7C" w14:textId="6F80F32A" w:rsidTr="00D76FE7">
        <w:tc>
          <w:tcPr>
            <w:tcW w:w="562" w:type="dxa"/>
          </w:tcPr>
          <w:p w14:paraId="5308DDDD" w14:textId="77777777" w:rsidR="0059404D" w:rsidRPr="00931D6C" w:rsidRDefault="0059404D" w:rsidP="0042202B">
            <w:pPr>
              <w:rPr>
                <w:rFonts w:cstheme="minorHAnsi"/>
                <w:b/>
              </w:rPr>
            </w:pPr>
            <w:r w:rsidRPr="00931D6C">
              <w:rPr>
                <w:rFonts w:cstheme="minorHAnsi"/>
                <w:b/>
              </w:rPr>
              <w:t>46</w:t>
            </w:r>
          </w:p>
        </w:tc>
        <w:tc>
          <w:tcPr>
            <w:tcW w:w="993" w:type="dxa"/>
          </w:tcPr>
          <w:p w14:paraId="16343C8E" w14:textId="77777777" w:rsidR="0059404D" w:rsidRPr="00931D6C" w:rsidRDefault="0059404D" w:rsidP="0042202B">
            <w:pPr>
              <w:rPr>
                <w:rFonts w:cstheme="minorHAnsi"/>
                <w:b/>
              </w:rPr>
            </w:pPr>
            <w:r w:rsidRPr="00931D6C">
              <w:rPr>
                <w:rFonts w:cstheme="minorHAnsi"/>
                <w:b/>
              </w:rPr>
              <w:t>MC</w:t>
            </w:r>
          </w:p>
        </w:tc>
        <w:tc>
          <w:tcPr>
            <w:tcW w:w="1701" w:type="dxa"/>
          </w:tcPr>
          <w:p w14:paraId="6D03E22F" w14:textId="77777777" w:rsidR="0059404D" w:rsidRPr="00931D6C" w:rsidRDefault="0059404D" w:rsidP="0042202B">
            <w:pPr>
              <w:rPr>
                <w:rFonts w:cstheme="minorHAnsi"/>
                <w:b/>
              </w:rPr>
            </w:pPr>
            <w:r w:rsidRPr="00931D6C">
              <w:rPr>
                <w:rFonts w:cstheme="minorHAnsi"/>
                <w:b/>
              </w:rPr>
              <w:t>Art. 27 ust. 1a UH</w:t>
            </w:r>
          </w:p>
        </w:tc>
        <w:tc>
          <w:tcPr>
            <w:tcW w:w="5953" w:type="dxa"/>
          </w:tcPr>
          <w:p w14:paraId="490913AB" w14:textId="77777777" w:rsidR="0059404D" w:rsidRPr="00931D6C" w:rsidRDefault="0059404D" w:rsidP="0042202B">
            <w:pPr>
              <w:rPr>
                <w:rFonts w:cstheme="minorHAnsi"/>
                <w:b/>
              </w:rPr>
            </w:pPr>
            <w:r w:rsidRPr="00931D6C">
              <w:rPr>
                <w:rFonts w:cstheme="minorHAnsi"/>
                <w:b/>
              </w:rPr>
              <w:t>Uwaga analogiczna jak w pkt 3.</w:t>
            </w:r>
          </w:p>
          <w:p w14:paraId="7C4464DA" w14:textId="61499328" w:rsidR="0059404D" w:rsidRPr="00931D6C" w:rsidRDefault="0059404D" w:rsidP="0042202B">
            <w:pPr>
              <w:rPr>
                <w:rFonts w:cstheme="minorHAnsi"/>
                <w:b/>
                <w:i/>
              </w:rPr>
            </w:pPr>
            <w:r w:rsidRPr="00931D6C">
              <w:rPr>
                <w:rFonts w:cstheme="minorHAnsi"/>
                <w:b/>
                <w:i/>
              </w:rPr>
              <w:t>„Przepisu ust. 1 pkt 2 i 3 w zakresie obowiązku stosowania postaci papierowej dokumentów nie stosuje się.”</w:t>
            </w:r>
          </w:p>
        </w:tc>
        <w:tc>
          <w:tcPr>
            <w:tcW w:w="3827" w:type="dxa"/>
          </w:tcPr>
          <w:p w14:paraId="66DE0850" w14:textId="2BE4EEB3" w:rsidR="0059404D" w:rsidRPr="00931D6C" w:rsidRDefault="0059404D" w:rsidP="0042202B">
            <w:pPr>
              <w:rPr>
                <w:rFonts w:cstheme="minorHAnsi"/>
                <w:b/>
              </w:rPr>
            </w:pPr>
            <w:r w:rsidRPr="00931D6C">
              <w:rPr>
                <w:rFonts w:cstheme="minorHAnsi"/>
                <w:b/>
              </w:rPr>
              <w:t>Uwaga uwzględniona.</w:t>
            </w:r>
          </w:p>
        </w:tc>
        <w:tc>
          <w:tcPr>
            <w:tcW w:w="3686" w:type="dxa"/>
          </w:tcPr>
          <w:p w14:paraId="40FD78AF" w14:textId="3C5DE76B" w:rsidR="0059404D" w:rsidRPr="00931D6C" w:rsidRDefault="0072272C" w:rsidP="0042202B">
            <w:pPr>
              <w:rPr>
                <w:rFonts w:cstheme="minorHAnsi"/>
                <w:b/>
              </w:rPr>
            </w:pPr>
            <w:r>
              <w:rPr>
                <w:rFonts w:cstheme="minorHAnsi"/>
                <w:b/>
              </w:rPr>
              <w:t xml:space="preserve">Akceptacja </w:t>
            </w:r>
          </w:p>
        </w:tc>
      </w:tr>
      <w:tr w:rsidR="0059404D" w:rsidRPr="00F515D6" w14:paraId="1937FF74" w14:textId="570BB71A" w:rsidTr="00D76FE7">
        <w:tc>
          <w:tcPr>
            <w:tcW w:w="562" w:type="dxa"/>
          </w:tcPr>
          <w:p w14:paraId="4D8B5AB1" w14:textId="77777777" w:rsidR="0059404D" w:rsidRPr="00931D6C" w:rsidRDefault="0059404D" w:rsidP="0042202B">
            <w:pPr>
              <w:rPr>
                <w:rFonts w:cstheme="minorHAnsi"/>
                <w:b/>
              </w:rPr>
            </w:pPr>
            <w:r w:rsidRPr="00931D6C">
              <w:rPr>
                <w:rFonts w:cstheme="minorHAnsi"/>
                <w:b/>
              </w:rPr>
              <w:t>47</w:t>
            </w:r>
          </w:p>
        </w:tc>
        <w:tc>
          <w:tcPr>
            <w:tcW w:w="993" w:type="dxa"/>
          </w:tcPr>
          <w:p w14:paraId="762304A6" w14:textId="77777777" w:rsidR="0059404D" w:rsidRPr="00931D6C" w:rsidRDefault="0059404D" w:rsidP="0042202B">
            <w:pPr>
              <w:rPr>
                <w:rFonts w:cstheme="minorHAnsi"/>
                <w:b/>
              </w:rPr>
            </w:pPr>
            <w:r w:rsidRPr="00931D6C">
              <w:rPr>
                <w:rFonts w:cstheme="minorHAnsi"/>
                <w:b/>
              </w:rPr>
              <w:t>MC</w:t>
            </w:r>
          </w:p>
        </w:tc>
        <w:tc>
          <w:tcPr>
            <w:tcW w:w="1701" w:type="dxa"/>
          </w:tcPr>
          <w:p w14:paraId="38765808" w14:textId="77777777" w:rsidR="0059404D" w:rsidRPr="00931D6C" w:rsidRDefault="0059404D" w:rsidP="0042202B">
            <w:pPr>
              <w:rPr>
                <w:rFonts w:cstheme="minorHAnsi"/>
                <w:b/>
              </w:rPr>
            </w:pPr>
            <w:r w:rsidRPr="00931D6C">
              <w:rPr>
                <w:rFonts w:cstheme="minorHAnsi"/>
                <w:b/>
              </w:rPr>
              <w:t>Art. 53a  UH</w:t>
            </w:r>
          </w:p>
        </w:tc>
        <w:tc>
          <w:tcPr>
            <w:tcW w:w="5953" w:type="dxa"/>
          </w:tcPr>
          <w:p w14:paraId="2F1BEAF9" w14:textId="04BE5275" w:rsidR="0059404D" w:rsidRPr="00931D6C" w:rsidRDefault="0059404D" w:rsidP="0042202B">
            <w:pPr>
              <w:rPr>
                <w:rFonts w:cstheme="minorHAnsi"/>
                <w:b/>
              </w:rPr>
            </w:pPr>
            <w:r w:rsidRPr="00931D6C">
              <w:rPr>
                <w:rFonts w:cstheme="minorHAnsi"/>
                <w:b/>
              </w:rPr>
              <w:t xml:space="preserve">Przepis nakłada określone obowiązki ustawowe na podmiot gospodarczy, który wprowadził do obrotu pojazd, przedmiot wyposażenia lub część, wbrew zakazowi określonemu w art. 14 ust. 5, lub stwierdził niezgodność z wymaganiami lub stwarzanie poważnego ryzyka. Taka konstrukcja przepisu może w praktyce prowadzić do licznych wątpliwości interpretacyjnych. Przepis zawiera nieokreślony przedmiot ryzyka, ustawodawca posługuje się zwrotem: „stwarzanie poważnego ryzyka” – jednocześnie nie wiadomo, czy chodzi o ryzyko: dla bezpieczeństwa ruchu drogowego, dla zdrowia i życia ludzi, dla środowiska, czy dla innych dóbr. Ponadto projekt nie przewiduje żadnych przesłanek oceny – przepis nie daje kryteriów, kiedy pojazd „stwarza poważne ryzyko”. To oznacza, że podmiot gospodarczy będzie zobowiązany samodzielnie oceniać ryzyko bez ustawowych standardów – a to generuje uznaniowość i niepewność prawa. Obecnie przedmiotowa ustawa w słowniku pojęciowym posługuje się terminem: „wprowadzenie do obrotu przedmiotu wyposażenia lub części, które mogą stwarzać poważne zagrożenie dla właściwego funkcjonowania istotnych układów – rozumie się przez to procedurę, o której mowa odpowiednio w art. 45 rozporządzenia 167/2013, art. 50 rozporządzenia 168/2013 albo art. 55 rozporządzenia 2018/858”. Ponadto obecnie przepisy mówią również o „poważnym zagrożeniu, o którym mowa w art. 24 ust. 3 rozporządzenia 167/2013, art. 29 ust. 3 rozporządzenia 168/2013 albo art. 26 ust. 5 rozporządzenia 2018/858” oraz „poważnym zagrożeniu dla bezpieczeństwa, ochrony zdrowia i środowiska”. Powyższe </w:t>
            </w:r>
            <w:r w:rsidRPr="00B26721">
              <w:rPr>
                <w:rFonts w:cstheme="minorHAnsi"/>
                <w:b/>
              </w:rPr>
              <w:t>sformułowania odsyłają do mierzalnych kryteriów oceny – w ww. przypadkach – „poważnego zagrożenia”. W tym zakresie proponuje się doprecyzowanie art. 53a.</w:t>
            </w:r>
          </w:p>
        </w:tc>
        <w:tc>
          <w:tcPr>
            <w:tcW w:w="3827" w:type="dxa"/>
          </w:tcPr>
          <w:p w14:paraId="48A3B78F" w14:textId="77777777" w:rsidR="0059404D" w:rsidRDefault="0059404D" w:rsidP="0042202B">
            <w:pPr>
              <w:rPr>
                <w:rFonts w:cstheme="minorHAnsi"/>
                <w:b/>
              </w:rPr>
            </w:pPr>
            <w:r w:rsidRPr="00931D6C">
              <w:rPr>
                <w:rFonts w:cstheme="minorHAnsi"/>
                <w:b/>
              </w:rPr>
              <w:t>Uwaga uwzględniona – doprecyzowano przepis art. 53a, wprowadzono w art. 2 UH definicję pojazdu, przedmiotu wyposażenia lub części stwarzających poważne ryzyko, zgodnie z rozporządzeniem 2019/1020 oraz wprowadzono zmianę art. 12 ust. 1 UH wskazującego na zakres wymagań w procedurze poprzez wprowadzenie skrótu „wymagania techniczne”, który będzie miał stosowany w dalszych przepisach</w:t>
            </w:r>
            <w:r>
              <w:rPr>
                <w:rFonts w:cstheme="minorHAnsi"/>
                <w:b/>
              </w:rPr>
              <w:t xml:space="preserve">. </w:t>
            </w:r>
          </w:p>
          <w:p w14:paraId="3C59E892" w14:textId="154414F7" w:rsidR="0059404D" w:rsidRDefault="0059404D" w:rsidP="0042202B">
            <w:pPr>
              <w:rPr>
                <w:rFonts w:cstheme="minorHAnsi"/>
                <w:b/>
              </w:rPr>
            </w:pPr>
            <w:r w:rsidRPr="005E4D9A">
              <w:rPr>
                <w:rFonts w:cstheme="minorHAnsi"/>
                <w:b/>
              </w:rPr>
              <w:t>Dodatkowo, w art. 68s dodano ust. 6 poprzez wskazanie, iż</w:t>
            </w:r>
            <w:r>
              <w:rPr>
                <w:rFonts w:cstheme="minorHAnsi"/>
                <w:b/>
              </w:rPr>
              <w:t>:</w:t>
            </w:r>
          </w:p>
          <w:p w14:paraId="6FE50F22" w14:textId="77777777" w:rsidR="0059404D" w:rsidRDefault="0059404D" w:rsidP="0042202B">
            <w:pPr>
              <w:rPr>
                <w:rFonts w:cstheme="minorHAnsi"/>
                <w:b/>
              </w:rPr>
            </w:pPr>
          </w:p>
          <w:p w14:paraId="43A54C60" w14:textId="4ADE0330" w:rsidR="0059404D" w:rsidRDefault="0059404D" w:rsidP="0042202B">
            <w:pPr>
              <w:rPr>
                <w:rFonts w:cstheme="minorHAnsi"/>
                <w:b/>
                <w:i/>
              </w:rPr>
            </w:pPr>
            <w:r>
              <w:rPr>
                <w:rFonts w:cstheme="minorHAnsi"/>
                <w:b/>
              </w:rPr>
              <w:t>„</w:t>
            </w:r>
            <w:r w:rsidRPr="005E4D9A">
              <w:rPr>
                <w:rFonts w:cstheme="minorHAnsi"/>
                <w:b/>
                <w:i/>
              </w:rPr>
              <w:t>Dyrektor TDT jako organ nadzoru rynku przeprowadza ocenę poziomu ryzyka stwarzanego przez pojazd, przedmiot wyposażenia lub część zgodnie z kryteriami określonymi w załączniku II rozporządzenia delegowanego Komisji (UE) 2024/3173 (Dz.</w:t>
            </w:r>
            <w:r>
              <w:rPr>
                <w:rFonts w:cstheme="minorHAnsi"/>
                <w:b/>
                <w:i/>
              </w:rPr>
              <w:t xml:space="preserve"> </w:t>
            </w:r>
            <w:r w:rsidRPr="005E4D9A">
              <w:rPr>
                <w:rFonts w:cstheme="minorHAnsi"/>
                <w:b/>
                <w:i/>
              </w:rPr>
              <w:t>U. L z 13.12.2024).</w:t>
            </w:r>
            <w:r>
              <w:rPr>
                <w:rFonts w:cstheme="minorHAnsi"/>
                <w:b/>
                <w:i/>
              </w:rPr>
              <w:t>”</w:t>
            </w:r>
          </w:p>
          <w:p w14:paraId="495D6244" w14:textId="77777777" w:rsidR="0059404D" w:rsidRDefault="0059404D" w:rsidP="0042202B">
            <w:pPr>
              <w:pStyle w:val="ZARTzmartartykuempunktem"/>
              <w:keepNext/>
              <w:spacing w:line="240" w:lineRule="auto"/>
              <w:ind w:left="0" w:firstLine="0"/>
              <w:jc w:val="left"/>
              <w:rPr>
                <w:rFonts w:asciiTheme="minorHAnsi" w:hAnsiTheme="minorHAnsi" w:cstheme="minorHAnsi"/>
                <w:b/>
                <w:i/>
                <w:sz w:val="22"/>
                <w:szCs w:val="22"/>
              </w:rPr>
            </w:pPr>
          </w:p>
          <w:p w14:paraId="376FE6A7" w14:textId="340902B6" w:rsidR="0059404D" w:rsidRPr="002B00EB"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Pr>
                <w:rFonts w:asciiTheme="minorHAnsi" w:hAnsiTheme="minorHAnsi" w:cstheme="minorHAnsi"/>
                <w:b/>
                <w:i/>
                <w:sz w:val="22"/>
                <w:szCs w:val="22"/>
              </w:rPr>
              <w:t>„</w:t>
            </w:r>
            <w:r w:rsidRPr="002B00EB">
              <w:rPr>
                <w:rFonts w:asciiTheme="minorHAnsi" w:hAnsiTheme="minorHAnsi" w:cstheme="minorHAnsi"/>
                <w:b/>
                <w:i/>
                <w:sz w:val="22"/>
                <w:szCs w:val="22"/>
              </w:rPr>
              <w:t xml:space="preserve">Art. 53a. 1. Podmiot gospodarczy, który wprowadził do obrotu na terytorium Rzeczypospolitej Polskiej pojazd, przedmiot wyposażenia lub część, wbrew zakazowi określonemu w art. 14 ust. </w:t>
            </w:r>
            <w:r>
              <w:rPr>
                <w:rFonts w:asciiTheme="minorHAnsi" w:hAnsiTheme="minorHAnsi" w:cstheme="minorHAnsi"/>
                <w:b/>
                <w:i/>
                <w:sz w:val="22"/>
                <w:szCs w:val="22"/>
              </w:rPr>
              <w:t>4</w:t>
            </w:r>
            <w:r w:rsidRPr="002B00EB">
              <w:rPr>
                <w:rFonts w:asciiTheme="minorHAnsi" w:hAnsiTheme="minorHAnsi" w:cstheme="minorHAnsi"/>
                <w:b/>
                <w:i/>
                <w:sz w:val="22"/>
                <w:szCs w:val="22"/>
              </w:rPr>
              <w:t xml:space="preserve"> lub stwierdził niezgodność z wymaganiami technicznymi lub stwarzanie ryzyka przez pojazd, przedmiot wyposażenia lub część, jest obowiązany poinformować o tym niezwłocznie</w:t>
            </w:r>
            <w:r>
              <w:rPr>
                <w:rFonts w:asciiTheme="minorHAnsi" w:hAnsiTheme="minorHAnsi" w:cstheme="minorHAnsi"/>
                <w:b/>
                <w:i/>
                <w:sz w:val="22"/>
                <w:szCs w:val="22"/>
              </w:rPr>
              <w:t xml:space="preserve">,  nie później niż 14 dni od </w:t>
            </w:r>
            <w:r w:rsidRPr="00354D94">
              <w:rPr>
                <w:rFonts w:asciiTheme="minorHAnsi" w:hAnsiTheme="minorHAnsi" w:cstheme="minorHAnsi"/>
                <w:b/>
                <w:i/>
                <w:sz w:val="22"/>
                <w:szCs w:val="22"/>
              </w:rPr>
              <w:t xml:space="preserve"> stwierdzenia wskazanych powyżej okoliczności</w:t>
            </w:r>
            <w:r>
              <w:rPr>
                <w:rFonts w:asciiTheme="minorHAnsi" w:hAnsiTheme="minorHAnsi" w:cstheme="minorHAnsi"/>
                <w:b/>
                <w:i/>
                <w:sz w:val="22"/>
                <w:szCs w:val="22"/>
              </w:rPr>
              <w:t>,</w:t>
            </w:r>
            <w:r w:rsidRPr="002B00EB">
              <w:rPr>
                <w:rFonts w:asciiTheme="minorHAnsi" w:hAnsiTheme="minorHAnsi" w:cstheme="minorHAnsi"/>
                <w:b/>
                <w:i/>
                <w:sz w:val="22"/>
                <w:szCs w:val="22"/>
              </w:rPr>
              <w:t xml:space="preserve"> Dyrektora TDT jako organ nadzoru rynku oraz o planowanych działaniach obejmujących:</w:t>
            </w:r>
          </w:p>
          <w:p w14:paraId="5256BF38" w14:textId="68D4FD63" w:rsidR="0059404D" w:rsidRPr="002B00EB" w:rsidRDefault="0059404D" w:rsidP="0042202B">
            <w:pPr>
              <w:pStyle w:val="ZPKTzmpktartykuempunktem"/>
              <w:spacing w:line="240" w:lineRule="auto"/>
              <w:ind w:left="510" w:hanging="339"/>
              <w:jc w:val="left"/>
              <w:rPr>
                <w:rFonts w:asciiTheme="minorHAnsi" w:hAnsiTheme="minorHAnsi" w:cstheme="minorHAnsi"/>
                <w:b/>
                <w:i/>
                <w:sz w:val="22"/>
                <w:szCs w:val="22"/>
              </w:rPr>
            </w:pPr>
            <w:r w:rsidRPr="002B00EB">
              <w:rPr>
                <w:rFonts w:asciiTheme="minorHAnsi" w:hAnsiTheme="minorHAnsi" w:cstheme="minorHAnsi"/>
                <w:b/>
                <w:i/>
                <w:sz w:val="22"/>
                <w:szCs w:val="22"/>
              </w:rPr>
              <w:t>1)</w:t>
            </w:r>
            <w:r w:rsidRPr="002B00EB">
              <w:rPr>
                <w:rFonts w:asciiTheme="minorHAnsi" w:hAnsiTheme="minorHAnsi" w:cstheme="minorHAnsi"/>
                <w:b/>
                <w:i/>
                <w:sz w:val="22"/>
                <w:szCs w:val="22"/>
              </w:rPr>
              <w:tab/>
              <w:t>podanie do publicznej wiadomości w środkach masowego przekazu o zasięgu ogólnopolskim oraz w miejscu wprowadzenia do obrotu pojazdu, przedmiotu wyposażenia lub części objętych obowiązkiem wycofania z rynku, informację o pojeździe, przedmiocie wyposażenia lub części objętych obowiązkiem wycofania z rynku oraz</w:t>
            </w:r>
          </w:p>
          <w:p w14:paraId="64F2B4E3" w14:textId="348665D1" w:rsidR="0059404D" w:rsidRPr="002B00EB" w:rsidRDefault="0059404D" w:rsidP="0042202B">
            <w:pPr>
              <w:pStyle w:val="ZLITwPKTzmlitwpktartykuempunktem"/>
              <w:spacing w:line="240" w:lineRule="auto"/>
              <w:ind w:left="510" w:hanging="339"/>
              <w:jc w:val="left"/>
              <w:rPr>
                <w:rFonts w:asciiTheme="minorHAnsi" w:hAnsiTheme="minorHAnsi" w:cstheme="minorHAnsi"/>
                <w:b/>
                <w:i/>
                <w:sz w:val="22"/>
                <w:szCs w:val="22"/>
              </w:rPr>
            </w:pPr>
            <w:r>
              <w:rPr>
                <w:rFonts w:asciiTheme="minorHAnsi" w:hAnsiTheme="minorHAnsi" w:cstheme="minorHAnsi"/>
                <w:b/>
                <w:i/>
                <w:sz w:val="22"/>
                <w:szCs w:val="22"/>
              </w:rPr>
              <w:t xml:space="preserve">2)   </w:t>
            </w:r>
            <w:r w:rsidRPr="002B00EB">
              <w:rPr>
                <w:rFonts w:asciiTheme="minorHAnsi" w:hAnsiTheme="minorHAnsi" w:cstheme="minorHAnsi"/>
                <w:b/>
                <w:i/>
                <w:sz w:val="22"/>
                <w:szCs w:val="22"/>
              </w:rPr>
              <w:t xml:space="preserve">doprowadzenie, na swój koszt, pojazdu, przedmiotu wyposażenia lub części do stanu zgodności z wymaganiami technicznymi albo </w:t>
            </w:r>
          </w:p>
          <w:p w14:paraId="4E1257BC" w14:textId="73418B35" w:rsidR="0059404D" w:rsidRPr="002B00EB" w:rsidRDefault="0059404D" w:rsidP="0042202B">
            <w:pPr>
              <w:pStyle w:val="ZLITwPKTzmlitwpktartykuempunktem"/>
              <w:keepNext/>
              <w:spacing w:line="240" w:lineRule="auto"/>
              <w:ind w:left="510" w:hanging="339"/>
              <w:jc w:val="left"/>
              <w:rPr>
                <w:rFonts w:asciiTheme="minorHAnsi" w:hAnsiTheme="minorHAnsi" w:cstheme="minorHAnsi"/>
                <w:b/>
                <w:i/>
                <w:sz w:val="22"/>
                <w:szCs w:val="22"/>
              </w:rPr>
            </w:pPr>
            <w:r>
              <w:rPr>
                <w:rFonts w:asciiTheme="minorHAnsi" w:hAnsiTheme="minorHAnsi" w:cstheme="minorHAnsi"/>
                <w:b/>
                <w:i/>
                <w:sz w:val="22"/>
                <w:szCs w:val="22"/>
              </w:rPr>
              <w:t xml:space="preserve">3) </w:t>
            </w:r>
            <w:r w:rsidRPr="002B00EB">
              <w:rPr>
                <w:rFonts w:asciiTheme="minorHAnsi" w:hAnsiTheme="minorHAnsi" w:cstheme="minorHAnsi"/>
                <w:b/>
                <w:i/>
                <w:sz w:val="22"/>
                <w:szCs w:val="22"/>
              </w:rPr>
              <w:t xml:space="preserve"> </w:t>
            </w:r>
            <w:r>
              <w:rPr>
                <w:rFonts w:asciiTheme="minorHAnsi" w:hAnsiTheme="minorHAnsi" w:cstheme="minorHAnsi"/>
                <w:b/>
                <w:i/>
                <w:sz w:val="22"/>
                <w:szCs w:val="22"/>
              </w:rPr>
              <w:t xml:space="preserve"> </w:t>
            </w:r>
            <w:r w:rsidRPr="002B00EB">
              <w:rPr>
                <w:rFonts w:asciiTheme="minorHAnsi" w:hAnsiTheme="minorHAnsi" w:cstheme="minorHAnsi"/>
                <w:b/>
                <w:i/>
                <w:sz w:val="22"/>
                <w:szCs w:val="22"/>
              </w:rPr>
              <w:t>wycofanie, na swój koszt,  z rynku pojazdu, przedmiotu wyposażenia lub części, a w przypadku, gdy pojazd, przedmiot wyposażenia lub część zostały zbyte na rzecz użytkownika końcowego także:</w:t>
            </w:r>
          </w:p>
          <w:p w14:paraId="30BC9706" w14:textId="77777777" w:rsidR="0059404D" w:rsidRPr="002B00EB" w:rsidRDefault="0059404D" w:rsidP="0042202B">
            <w:pPr>
              <w:pStyle w:val="ZTIRwPKTzmtirwpktartykuempunktem"/>
              <w:spacing w:line="240" w:lineRule="auto"/>
              <w:ind w:left="1105"/>
              <w:jc w:val="left"/>
              <w:rPr>
                <w:rFonts w:asciiTheme="minorHAnsi" w:hAnsiTheme="minorHAnsi" w:cstheme="minorHAnsi"/>
                <w:b/>
                <w:i/>
                <w:sz w:val="22"/>
                <w:szCs w:val="22"/>
              </w:rPr>
            </w:pPr>
            <w:r w:rsidRPr="002B00EB">
              <w:rPr>
                <w:rFonts w:asciiTheme="minorHAnsi" w:hAnsiTheme="minorHAnsi" w:cstheme="minorHAnsi"/>
                <w:b/>
                <w:i/>
                <w:sz w:val="22"/>
                <w:szCs w:val="22"/>
              </w:rPr>
              <w:t xml:space="preserve">a) </w:t>
            </w:r>
            <w:r w:rsidRPr="002B00EB">
              <w:rPr>
                <w:rFonts w:asciiTheme="minorHAnsi" w:hAnsiTheme="minorHAnsi" w:cstheme="minorHAnsi"/>
                <w:b/>
                <w:i/>
                <w:sz w:val="22"/>
                <w:szCs w:val="22"/>
              </w:rPr>
              <w:tab/>
              <w:t>odkupienie pojazdu, przedmiotu wyposażenia lub części od podmiotu lub osoby posiadającej tytuł prawny do tego pojazdu, przedmiotu wyposażenia lub części albo</w:t>
            </w:r>
          </w:p>
          <w:p w14:paraId="1DE1111E" w14:textId="59A85D22" w:rsidR="0059404D" w:rsidRPr="002B00EB" w:rsidRDefault="0059404D" w:rsidP="0042202B">
            <w:pPr>
              <w:pStyle w:val="ZTIRwPKTzmtirwpktartykuempunktem"/>
              <w:spacing w:line="240" w:lineRule="auto"/>
              <w:ind w:left="1105"/>
              <w:jc w:val="left"/>
              <w:rPr>
                <w:rFonts w:asciiTheme="minorHAnsi" w:hAnsiTheme="minorHAnsi" w:cstheme="minorHAnsi"/>
                <w:b/>
                <w:i/>
                <w:sz w:val="22"/>
                <w:szCs w:val="22"/>
              </w:rPr>
            </w:pPr>
            <w:r w:rsidRPr="002B00EB">
              <w:rPr>
                <w:rFonts w:asciiTheme="minorHAnsi" w:hAnsiTheme="minorHAnsi" w:cstheme="minorHAnsi"/>
                <w:b/>
                <w:i/>
                <w:sz w:val="22"/>
                <w:szCs w:val="22"/>
              </w:rPr>
              <w:t xml:space="preserve">b) </w:t>
            </w:r>
            <w:r w:rsidRPr="002B00EB">
              <w:rPr>
                <w:rFonts w:asciiTheme="minorHAnsi" w:hAnsiTheme="minorHAnsi" w:cstheme="minorHAnsi"/>
                <w:b/>
                <w:i/>
                <w:sz w:val="22"/>
                <w:szCs w:val="22"/>
              </w:rPr>
              <w:tab/>
              <w:t>wymianę na nowy pojazd, przedmiot wyposażenia lub część spełniające wymagania techniczne, na podstawie dokumentu potwierdzającego ich zakup.</w:t>
            </w:r>
          </w:p>
          <w:p w14:paraId="5E5A6DE9" w14:textId="2B09C2FC" w:rsidR="0059404D" w:rsidRPr="002B00EB"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Pr>
                <w:rFonts w:asciiTheme="minorHAnsi" w:hAnsiTheme="minorHAnsi" w:cstheme="minorHAnsi"/>
                <w:b/>
                <w:i/>
                <w:sz w:val="22"/>
                <w:szCs w:val="22"/>
              </w:rPr>
              <w:t>2.</w:t>
            </w:r>
            <w:r w:rsidRPr="002B00EB">
              <w:rPr>
                <w:rFonts w:asciiTheme="minorHAnsi" w:hAnsiTheme="minorHAnsi" w:cstheme="minorHAnsi"/>
                <w:b/>
                <w:i/>
                <w:sz w:val="22"/>
                <w:szCs w:val="22"/>
              </w:rPr>
              <w:t xml:space="preserve"> Dyrektor TDT jako organ nadzoru rynku weryfikuje przedstawione przez podmiot gospodarczy planowane działania, o których mowa w ust. 1, oraz ustala ich zakres. </w:t>
            </w:r>
          </w:p>
          <w:p w14:paraId="5D12118C" w14:textId="308A0B06" w:rsidR="0059404D" w:rsidRPr="00D2672C"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2B00EB">
              <w:rPr>
                <w:rFonts w:asciiTheme="minorHAnsi" w:hAnsiTheme="minorHAnsi" w:cstheme="minorHAnsi"/>
                <w:b/>
                <w:i/>
                <w:sz w:val="22"/>
                <w:szCs w:val="22"/>
              </w:rPr>
              <w:t>3. Podmiot gospodarczy jest zobowiązany do informowania Dyrektora TDT o postępie w realizacji podjętych działań, o których mowa w ust. 1, co najmniej raz na kwartał.”</w:t>
            </w:r>
          </w:p>
        </w:tc>
        <w:tc>
          <w:tcPr>
            <w:tcW w:w="3686" w:type="dxa"/>
          </w:tcPr>
          <w:p w14:paraId="510C410E" w14:textId="6466533A" w:rsidR="0059404D" w:rsidRDefault="0072272C" w:rsidP="0042202B">
            <w:pPr>
              <w:rPr>
                <w:rFonts w:cstheme="minorHAnsi"/>
                <w:b/>
              </w:rPr>
            </w:pPr>
            <w:r>
              <w:rPr>
                <w:rFonts w:cstheme="minorHAnsi"/>
                <w:b/>
              </w:rPr>
              <w:t>Akceptacja + doprecyz</w:t>
            </w:r>
            <w:r w:rsidR="000B75B6">
              <w:rPr>
                <w:rFonts w:cstheme="minorHAnsi"/>
                <w:b/>
              </w:rPr>
              <w:t>owanie</w:t>
            </w:r>
            <w:r>
              <w:rPr>
                <w:rFonts w:cstheme="minorHAnsi"/>
                <w:b/>
              </w:rPr>
              <w:t xml:space="preserve"> przepis</w:t>
            </w:r>
            <w:r w:rsidR="000B75B6">
              <w:rPr>
                <w:rFonts w:cstheme="minorHAnsi"/>
                <w:b/>
              </w:rPr>
              <w:t>u</w:t>
            </w:r>
            <w:r>
              <w:rPr>
                <w:rFonts w:cstheme="minorHAnsi"/>
                <w:b/>
              </w:rPr>
              <w:t xml:space="preserve"> (zakres udostępnienia decyzji z art. 53b)</w:t>
            </w:r>
          </w:p>
          <w:p w14:paraId="55E4003C" w14:textId="77777777" w:rsidR="00F96EBD" w:rsidRDefault="00F96EBD" w:rsidP="0042202B">
            <w:pPr>
              <w:rPr>
                <w:rFonts w:cstheme="minorHAnsi"/>
                <w:b/>
              </w:rPr>
            </w:pPr>
          </w:p>
          <w:p w14:paraId="777C3F00" w14:textId="3CFF09CB" w:rsidR="00F96EBD" w:rsidRPr="00931D6C" w:rsidRDefault="00F96EBD" w:rsidP="0042202B">
            <w:pPr>
              <w:rPr>
                <w:rFonts w:cstheme="minorHAnsi"/>
                <w:b/>
              </w:rPr>
            </w:pPr>
            <w:r w:rsidRPr="00F96EBD">
              <w:rPr>
                <w:rFonts w:cstheme="minorHAnsi"/>
                <w:b/>
                <w:color w:val="0070C0"/>
              </w:rPr>
              <w:t>Wypracowan</w:t>
            </w:r>
            <w:r w:rsidR="002B1220">
              <w:rPr>
                <w:rFonts w:cstheme="minorHAnsi"/>
                <w:b/>
                <w:color w:val="0070C0"/>
              </w:rPr>
              <w:t>o</w:t>
            </w:r>
            <w:r w:rsidRPr="00F96EBD">
              <w:rPr>
                <w:rFonts w:cstheme="minorHAnsi"/>
                <w:b/>
                <w:color w:val="0070C0"/>
              </w:rPr>
              <w:t xml:space="preserve"> z COI zmiany. </w:t>
            </w:r>
          </w:p>
        </w:tc>
      </w:tr>
      <w:tr w:rsidR="0059404D" w:rsidRPr="00F515D6" w14:paraId="4649522F" w14:textId="7489EC0A" w:rsidTr="00D76FE7">
        <w:tc>
          <w:tcPr>
            <w:tcW w:w="562" w:type="dxa"/>
          </w:tcPr>
          <w:p w14:paraId="144FC595" w14:textId="77777777" w:rsidR="0059404D" w:rsidRPr="00AB5E35" w:rsidRDefault="0059404D" w:rsidP="0042202B">
            <w:pPr>
              <w:rPr>
                <w:rFonts w:cstheme="minorHAnsi"/>
                <w:b/>
              </w:rPr>
            </w:pPr>
            <w:r w:rsidRPr="00AB5E35">
              <w:rPr>
                <w:rFonts w:cstheme="minorHAnsi"/>
                <w:b/>
              </w:rPr>
              <w:t>48</w:t>
            </w:r>
          </w:p>
        </w:tc>
        <w:tc>
          <w:tcPr>
            <w:tcW w:w="993" w:type="dxa"/>
          </w:tcPr>
          <w:p w14:paraId="535BA0B2" w14:textId="77777777" w:rsidR="0059404D" w:rsidRPr="00AB5E35" w:rsidRDefault="0059404D" w:rsidP="0042202B">
            <w:pPr>
              <w:rPr>
                <w:rFonts w:cstheme="minorHAnsi"/>
                <w:b/>
              </w:rPr>
            </w:pPr>
            <w:r w:rsidRPr="00AB5E35">
              <w:rPr>
                <w:rFonts w:cstheme="minorHAnsi"/>
                <w:b/>
              </w:rPr>
              <w:t>MC</w:t>
            </w:r>
          </w:p>
        </w:tc>
        <w:tc>
          <w:tcPr>
            <w:tcW w:w="1701" w:type="dxa"/>
          </w:tcPr>
          <w:p w14:paraId="7D30B603" w14:textId="149CF89E" w:rsidR="0059404D" w:rsidRPr="00AB5E35" w:rsidRDefault="0059404D" w:rsidP="0042202B">
            <w:pPr>
              <w:rPr>
                <w:rFonts w:cstheme="minorHAnsi"/>
                <w:b/>
              </w:rPr>
            </w:pPr>
            <w:r w:rsidRPr="00AB5E35">
              <w:rPr>
                <w:rFonts w:cstheme="minorHAnsi"/>
                <w:b/>
              </w:rPr>
              <w:t>Art. 53a UH</w:t>
            </w:r>
          </w:p>
        </w:tc>
        <w:tc>
          <w:tcPr>
            <w:tcW w:w="5953" w:type="dxa"/>
          </w:tcPr>
          <w:p w14:paraId="50C379C4" w14:textId="77777777" w:rsidR="0059404D" w:rsidRPr="00AB5E35" w:rsidRDefault="0059404D" w:rsidP="0042202B">
            <w:pPr>
              <w:rPr>
                <w:rFonts w:cstheme="minorHAnsi"/>
                <w:b/>
              </w:rPr>
            </w:pPr>
            <w:r w:rsidRPr="00AB5E35">
              <w:rPr>
                <w:rFonts w:cstheme="minorHAnsi"/>
                <w:b/>
              </w:rPr>
              <w:t>Art. 53a nakłada na podmiot gospodarczy, który wprowadził do obrotu pojazd, przedmiot wyposażenia lub część, wbrew zakazowi określonemu w art. 14 ust. 5, określone obowiązki, w tym: podania określonej informacji do wiadomości publicznej, odpowiednio doprowadzenia, wycofania, odkupienia lub wymiany na nowy pojazdu, przedmiotu wyposażenia lub części, której to dotyczy, oraz poinformowania Dyrektora TDT o podjętych działaniach. Przepis nie określa jednak terminu ustawowego, w którym te obowiązki mają zostać przez podmiot spełnione. Projekt nie przewiduje również w art. 71a ust. 6 odpowiedzialności administracyjnej za niedopełnienie obowiązku powiadomienia Dyrektora TDT o podjętych działaniach w trybie art. 53a pkt 1 i 2. Powyższe może doprowadzić do przewlekłego postępowania podmiotu, który z obawy przed konsekwencjami głównie finansowymi celowo będzie zwlekał z wypełnieniem obowiązków nałożonych na niego mocą art. 53a.</w:t>
            </w:r>
          </w:p>
          <w:p w14:paraId="76232499" w14:textId="77777777" w:rsidR="0059404D" w:rsidRPr="00AB5E35" w:rsidRDefault="0059404D" w:rsidP="0042202B">
            <w:pPr>
              <w:rPr>
                <w:rFonts w:cstheme="minorHAnsi"/>
                <w:b/>
              </w:rPr>
            </w:pPr>
          </w:p>
          <w:p w14:paraId="3D3FFDF7" w14:textId="77777777" w:rsidR="0059404D" w:rsidRPr="00AB5E35" w:rsidRDefault="0059404D" w:rsidP="0042202B">
            <w:pPr>
              <w:rPr>
                <w:rFonts w:cstheme="minorHAnsi"/>
                <w:b/>
                <w:i/>
              </w:rPr>
            </w:pPr>
            <w:r w:rsidRPr="00AB5E35">
              <w:rPr>
                <w:rFonts w:cstheme="minorHAnsi"/>
                <w:b/>
                <w:i/>
              </w:rPr>
              <w:t>„Art. 53a. Podmiot gospodarczy, który wprowadził do obrotu pojazd, przedmiot wyposażenia lub część, wbrew zakazowi określonemu w art. 14 ust. 5 lub stwierdził niezgodność z wymaganiami lub stwarzanie poważnego ryzyka, jest obowiązany niezwłocznie:”.</w:t>
            </w:r>
          </w:p>
          <w:p w14:paraId="5AFEB449" w14:textId="77777777" w:rsidR="0059404D" w:rsidRPr="00AB5E35" w:rsidRDefault="0059404D" w:rsidP="0042202B">
            <w:pPr>
              <w:rPr>
                <w:rFonts w:cstheme="minorHAnsi"/>
                <w:b/>
              </w:rPr>
            </w:pPr>
          </w:p>
        </w:tc>
        <w:tc>
          <w:tcPr>
            <w:tcW w:w="3827" w:type="dxa"/>
          </w:tcPr>
          <w:p w14:paraId="0418D8B5" w14:textId="5BC02CC2" w:rsidR="0059404D" w:rsidRDefault="0059404D" w:rsidP="0042202B">
            <w:pPr>
              <w:rPr>
                <w:rFonts w:cstheme="minorHAnsi"/>
                <w:b/>
              </w:rPr>
            </w:pPr>
            <w:r w:rsidRPr="00AB5E35">
              <w:rPr>
                <w:rFonts w:cstheme="minorHAnsi"/>
                <w:b/>
              </w:rPr>
              <w:t>Uwaga uwzględniona – zmiana brzmienia</w:t>
            </w:r>
            <w:r>
              <w:rPr>
                <w:rFonts w:cstheme="minorHAnsi"/>
                <w:b/>
              </w:rPr>
              <w:t xml:space="preserve"> tego przepisu:</w:t>
            </w:r>
            <w:r w:rsidRPr="00AB5E35">
              <w:rPr>
                <w:rFonts w:cstheme="minorHAnsi"/>
                <w:b/>
              </w:rPr>
              <w:t xml:space="preserve"> </w:t>
            </w:r>
          </w:p>
          <w:p w14:paraId="193D8395" w14:textId="77777777" w:rsidR="0059404D" w:rsidRDefault="0059404D" w:rsidP="0042202B">
            <w:pPr>
              <w:rPr>
                <w:rFonts w:cstheme="minorHAnsi"/>
                <w:b/>
              </w:rPr>
            </w:pPr>
          </w:p>
          <w:p w14:paraId="21F6BFCD" w14:textId="6D52D904" w:rsidR="0059404D"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6A280C">
              <w:rPr>
                <w:rFonts w:asciiTheme="minorHAnsi" w:hAnsiTheme="minorHAnsi" w:cstheme="minorHAnsi"/>
                <w:b/>
                <w:i/>
                <w:sz w:val="22"/>
                <w:szCs w:val="22"/>
              </w:rPr>
              <w:t xml:space="preserve"> „Art. 53a. 1. Podmiot gospodarczy, który wprowadził do obrotu na terytorium Rzeczypospolitej Polskiej pojazd, przedmiot wyposażenia lub część, wbrew zakazowi określonemu w art. 14 ust. </w:t>
            </w:r>
            <w:r>
              <w:rPr>
                <w:rFonts w:asciiTheme="minorHAnsi" w:hAnsiTheme="minorHAnsi" w:cstheme="minorHAnsi"/>
                <w:b/>
                <w:i/>
                <w:sz w:val="22"/>
                <w:szCs w:val="22"/>
              </w:rPr>
              <w:t>4</w:t>
            </w:r>
            <w:r w:rsidRPr="006A280C">
              <w:rPr>
                <w:rFonts w:asciiTheme="minorHAnsi" w:hAnsiTheme="minorHAnsi" w:cstheme="minorHAnsi"/>
                <w:b/>
                <w:i/>
                <w:sz w:val="22"/>
                <w:szCs w:val="22"/>
              </w:rPr>
              <w:t xml:space="preserve"> lub stwierdził niezgodność z wymaganiami technicznymi lub stwarzanie ryzyka przez pojazd, przedmiot wyposażenia lub część, jest obowiązany poinformować o tym niezwłocznie</w:t>
            </w:r>
            <w:r>
              <w:rPr>
                <w:rFonts w:asciiTheme="minorHAnsi" w:hAnsiTheme="minorHAnsi" w:cstheme="minorHAnsi"/>
                <w:b/>
                <w:i/>
                <w:sz w:val="22"/>
                <w:szCs w:val="22"/>
              </w:rPr>
              <w:t xml:space="preserve">,  nie później niż 14 dni od </w:t>
            </w:r>
            <w:r w:rsidRPr="00354D94">
              <w:rPr>
                <w:rFonts w:asciiTheme="minorHAnsi" w:hAnsiTheme="minorHAnsi" w:cstheme="minorHAnsi"/>
                <w:b/>
                <w:i/>
                <w:sz w:val="22"/>
                <w:szCs w:val="22"/>
              </w:rPr>
              <w:t xml:space="preserve"> stwierdzenia wskazanych powyżej okoliczności</w:t>
            </w:r>
            <w:r>
              <w:rPr>
                <w:rFonts w:asciiTheme="minorHAnsi" w:hAnsiTheme="minorHAnsi" w:cstheme="minorHAnsi"/>
                <w:b/>
                <w:i/>
                <w:sz w:val="22"/>
                <w:szCs w:val="22"/>
              </w:rPr>
              <w:t xml:space="preserve">, </w:t>
            </w:r>
            <w:r w:rsidRPr="006A280C">
              <w:rPr>
                <w:rFonts w:asciiTheme="minorHAnsi" w:hAnsiTheme="minorHAnsi" w:cstheme="minorHAnsi"/>
                <w:b/>
                <w:i/>
                <w:sz w:val="22"/>
                <w:szCs w:val="22"/>
              </w:rPr>
              <w:t>Dyrektora TDT jako organ nadzoru rynku oraz o planowanych działaniach obejmujących:</w:t>
            </w:r>
            <w:r>
              <w:rPr>
                <w:rFonts w:asciiTheme="minorHAnsi" w:hAnsiTheme="minorHAnsi" w:cstheme="minorHAnsi"/>
                <w:b/>
                <w:i/>
                <w:sz w:val="22"/>
                <w:szCs w:val="22"/>
              </w:rPr>
              <w:t xml:space="preserve"> …”</w:t>
            </w:r>
          </w:p>
          <w:p w14:paraId="274A3102" w14:textId="3652CFB2" w:rsidR="0059404D" w:rsidRPr="00D2672C" w:rsidRDefault="0059404D" w:rsidP="0042202B">
            <w:pPr>
              <w:pStyle w:val="ZARTzmartartykuempunktem"/>
              <w:keepNext/>
              <w:spacing w:line="240" w:lineRule="auto"/>
              <w:ind w:left="0" w:firstLine="0"/>
              <w:jc w:val="left"/>
              <w:rPr>
                <w:rFonts w:asciiTheme="minorHAnsi" w:hAnsiTheme="minorHAnsi" w:cstheme="minorHAnsi"/>
                <w:b/>
                <w:i/>
                <w:sz w:val="22"/>
                <w:szCs w:val="22"/>
              </w:rPr>
            </w:pPr>
            <w:r w:rsidRPr="006A280C">
              <w:rPr>
                <w:rFonts w:asciiTheme="minorHAnsi" w:hAnsiTheme="minorHAnsi" w:cstheme="minorHAnsi"/>
                <w:b/>
                <w:i/>
                <w:sz w:val="22"/>
                <w:szCs w:val="22"/>
              </w:rPr>
              <w:t xml:space="preserve">2. Dyrektor TDT jako organ nadzoru rynku weryfikuje przedstawione przez podmiot gospodarczy planowane działania, o których mowa w ust. 1, oraz ustala ich zakres. </w:t>
            </w:r>
          </w:p>
          <w:p w14:paraId="78574043" w14:textId="33949DE4" w:rsidR="0059404D" w:rsidRPr="00AB5E35" w:rsidRDefault="0059404D" w:rsidP="0042202B">
            <w:pPr>
              <w:pStyle w:val="ZARTzmartartykuempunktem"/>
              <w:keepNext/>
              <w:spacing w:line="240" w:lineRule="auto"/>
              <w:ind w:left="0" w:firstLine="0"/>
              <w:jc w:val="left"/>
              <w:rPr>
                <w:rFonts w:cstheme="minorHAnsi"/>
                <w:b/>
              </w:rPr>
            </w:pPr>
            <w:r w:rsidRPr="006A280C">
              <w:rPr>
                <w:rFonts w:asciiTheme="minorHAnsi" w:hAnsiTheme="minorHAnsi" w:cstheme="minorHAnsi"/>
                <w:b/>
                <w:i/>
                <w:sz w:val="22"/>
                <w:szCs w:val="22"/>
              </w:rPr>
              <w:t>3. Podmiot gospodarczy jest zobowiązany do informowania Dyrektora TDT o postępie w realizacji podjętych działań, o których mowa w ust. 1, co najmniej raz na kwartał.</w:t>
            </w:r>
            <w:r>
              <w:rPr>
                <w:rFonts w:asciiTheme="minorHAnsi" w:hAnsiTheme="minorHAnsi" w:cstheme="minorHAnsi"/>
                <w:b/>
                <w:i/>
                <w:sz w:val="22"/>
                <w:szCs w:val="22"/>
              </w:rPr>
              <w:t>”</w:t>
            </w:r>
          </w:p>
        </w:tc>
        <w:tc>
          <w:tcPr>
            <w:tcW w:w="3686" w:type="dxa"/>
          </w:tcPr>
          <w:p w14:paraId="6A314460" w14:textId="38B782DE" w:rsidR="0059404D" w:rsidRPr="00AB5E35" w:rsidRDefault="0072272C" w:rsidP="0042202B">
            <w:pPr>
              <w:rPr>
                <w:rFonts w:cstheme="minorHAnsi"/>
                <w:b/>
              </w:rPr>
            </w:pPr>
            <w:r>
              <w:rPr>
                <w:rFonts w:cstheme="minorHAnsi"/>
                <w:b/>
              </w:rPr>
              <w:t xml:space="preserve">Akceptacja </w:t>
            </w:r>
          </w:p>
        </w:tc>
      </w:tr>
      <w:tr w:rsidR="0059404D" w:rsidRPr="00F515D6" w14:paraId="386E2A25" w14:textId="7F1903BE" w:rsidTr="00D76FE7">
        <w:tc>
          <w:tcPr>
            <w:tcW w:w="562" w:type="dxa"/>
          </w:tcPr>
          <w:p w14:paraId="05E2BB0E" w14:textId="77777777" w:rsidR="0059404D" w:rsidRPr="00F57DD1" w:rsidRDefault="0059404D" w:rsidP="0042202B">
            <w:pPr>
              <w:rPr>
                <w:rFonts w:cstheme="minorHAnsi"/>
                <w:b/>
              </w:rPr>
            </w:pPr>
            <w:r w:rsidRPr="00F57DD1">
              <w:rPr>
                <w:rFonts w:cstheme="minorHAnsi"/>
                <w:b/>
              </w:rPr>
              <w:t>49</w:t>
            </w:r>
          </w:p>
        </w:tc>
        <w:tc>
          <w:tcPr>
            <w:tcW w:w="993" w:type="dxa"/>
          </w:tcPr>
          <w:p w14:paraId="662EC3BA" w14:textId="77777777" w:rsidR="0059404D" w:rsidRPr="00F57DD1" w:rsidRDefault="0059404D" w:rsidP="0042202B">
            <w:pPr>
              <w:rPr>
                <w:rFonts w:cstheme="minorHAnsi"/>
                <w:b/>
              </w:rPr>
            </w:pPr>
            <w:r w:rsidRPr="00F57DD1">
              <w:rPr>
                <w:rFonts w:cstheme="minorHAnsi"/>
                <w:b/>
              </w:rPr>
              <w:t>MC</w:t>
            </w:r>
          </w:p>
        </w:tc>
        <w:tc>
          <w:tcPr>
            <w:tcW w:w="1701" w:type="dxa"/>
          </w:tcPr>
          <w:p w14:paraId="2B17A6E4" w14:textId="77777777" w:rsidR="0059404D" w:rsidRPr="00F57DD1" w:rsidRDefault="0059404D" w:rsidP="0042202B">
            <w:pPr>
              <w:rPr>
                <w:rFonts w:cstheme="minorHAnsi"/>
                <w:b/>
              </w:rPr>
            </w:pPr>
            <w:r w:rsidRPr="00F57DD1">
              <w:rPr>
                <w:rFonts w:cstheme="minorHAnsi"/>
                <w:b/>
              </w:rPr>
              <w:t>Art. 53b ust. 1 i 2  UH</w:t>
            </w:r>
          </w:p>
        </w:tc>
        <w:tc>
          <w:tcPr>
            <w:tcW w:w="5953" w:type="dxa"/>
          </w:tcPr>
          <w:p w14:paraId="456A3705" w14:textId="77777777" w:rsidR="0059404D" w:rsidRPr="00F57DD1" w:rsidRDefault="0059404D" w:rsidP="0042202B">
            <w:pPr>
              <w:rPr>
                <w:rFonts w:cstheme="minorHAnsi"/>
                <w:b/>
              </w:rPr>
            </w:pPr>
            <w:r w:rsidRPr="00F57DD1">
              <w:rPr>
                <w:rFonts w:cstheme="minorHAnsi"/>
                <w:b/>
              </w:rPr>
              <w:t>W przypadku gdy pojazd, przedmiot wyposażenia lub część stwarza poważny stopień ryzyka dla bezpieczeństwa, ochrony zdrowia, w tym zdrowia użytkowników oraz środowiska, w celu zachowania bezpieczeństwa użytkowników pojazdu oraz ruchu drogowego zasadnym jest, aby decyzja Dyrektora TDT, o której mowa w art. 53b ust. 1, miała nadany rygor natychmiastowej wykonalności.</w:t>
            </w:r>
          </w:p>
          <w:p w14:paraId="666E127B" w14:textId="1228D0AD" w:rsidR="0059404D" w:rsidRPr="00D2672C" w:rsidRDefault="0059404D" w:rsidP="0042202B">
            <w:pPr>
              <w:rPr>
                <w:rFonts w:cstheme="minorHAnsi"/>
                <w:b/>
                <w:i/>
              </w:rPr>
            </w:pPr>
            <w:r w:rsidRPr="00F57DD1">
              <w:rPr>
                <w:rFonts w:cstheme="minorHAnsi"/>
                <w:b/>
                <w:i/>
              </w:rPr>
              <w:t>„1a</w:t>
            </w:r>
            <w:bookmarkStart w:id="41" w:name="_Hlk219805165"/>
            <w:r w:rsidRPr="00F57DD1">
              <w:rPr>
                <w:rFonts w:cstheme="minorHAnsi"/>
                <w:b/>
                <w:i/>
              </w:rPr>
              <w:t>. Dyrektor TDT, wydając decyzję, o której mowa w ust. 1, nadaje jej rygor natychmiastowej wykonalności.”.</w:t>
            </w:r>
            <w:bookmarkEnd w:id="41"/>
          </w:p>
        </w:tc>
        <w:tc>
          <w:tcPr>
            <w:tcW w:w="3827" w:type="dxa"/>
          </w:tcPr>
          <w:p w14:paraId="27C7D61F" w14:textId="2F4389E1" w:rsidR="0059404D" w:rsidRPr="006A280C" w:rsidRDefault="0059404D" w:rsidP="0042202B">
            <w:pPr>
              <w:rPr>
                <w:rFonts w:cstheme="minorHAnsi"/>
                <w:b/>
              </w:rPr>
            </w:pPr>
            <w:r w:rsidRPr="006A280C">
              <w:rPr>
                <w:rFonts w:cstheme="minorHAnsi"/>
                <w:b/>
              </w:rPr>
              <w:t xml:space="preserve">Uwaga nieuwzględniona – nie jest możliwe nadanie każdej decyzji Dyrektora TDT rygoru natychmiastowej wykonalności, gdyż środki ujęte w decyzjach będą stosowane w zależności od rodzaju stwierdzonych niezgodności z wymaganiami technicznymi lub stopnia ryzyka stwarzanego przez pojazd, przedmiot wyposażenia lub część. </w:t>
            </w:r>
          </w:p>
        </w:tc>
        <w:tc>
          <w:tcPr>
            <w:tcW w:w="3686" w:type="dxa"/>
          </w:tcPr>
          <w:p w14:paraId="7DB18D4D" w14:textId="0D0B4233" w:rsidR="0059404D" w:rsidRPr="006A280C" w:rsidRDefault="0072272C" w:rsidP="0042202B">
            <w:pPr>
              <w:rPr>
                <w:rFonts w:cstheme="minorHAnsi"/>
                <w:b/>
              </w:rPr>
            </w:pPr>
            <w:r>
              <w:rPr>
                <w:rFonts w:cstheme="minorHAnsi"/>
                <w:b/>
              </w:rPr>
              <w:t xml:space="preserve">Akceptacja </w:t>
            </w:r>
          </w:p>
        </w:tc>
      </w:tr>
      <w:tr w:rsidR="0059404D" w:rsidRPr="00F515D6" w14:paraId="085850FF" w14:textId="1F86B7CA" w:rsidTr="00D76FE7">
        <w:tc>
          <w:tcPr>
            <w:tcW w:w="562" w:type="dxa"/>
          </w:tcPr>
          <w:p w14:paraId="7553A0D5" w14:textId="77777777" w:rsidR="0059404D" w:rsidRPr="00F57DD1" w:rsidRDefault="0059404D" w:rsidP="0042202B">
            <w:pPr>
              <w:rPr>
                <w:rFonts w:cstheme="minorHAnsi"/>
                <w:b/>
              </w:rPr>
            </w:pPr>
            <w:r w:rsidRPr="00F57DD1">
              <w:rPr>
                <w:rFonts w:cstheme="minorHAnsi"/>
                <w:b/>
              </w:rPr>
              <w:t>50</w:t>
            </w:r>
          </w:p>
        </w:tc>
        <w:tc>
          <w:tcPr>
            <w:tcW w:w="993" w:type="dxa"/>
          </w:tcPr>
          <w:p w14:paraId="079227E6" w14:textId="77777777" w:rsidR="0059404D" w:rsidRDefault="0059404D" w:rsidP="0042202B">
            <w:pPr>
              <w:rPr>
                <w:rFonts w:cstheme="minorHAnsi"/>
                <w:b/>
              </w:rPr>
            </w:pPr>
            <w:r w:rsidRPr="00F57DD1">
              <w:rPr>
                <w:rFonts w:cstheme="minorHAnsi"/>
                <w:b/>
              </w:rPr>
              <w:t>MC</w:t>
            </w:r>
          </w:p>
          <w:p w14:paraId="244E11F4" w14:textId="14AED410" w:rsidR="0059404D" w:rsidRPr="00450941" w:rsidRDefault="0059404D" w:rsidP="0042202B">
            <w:pPr>
              <w:rPr>
                <w:rFonts w:cstheme="minorHAnsi"/>
                <w:b/>
                <w:color w:val="00B050"/>
              </w:rPr>
            </w:pPr>
            <w:r>
              <w:rPr>
                <w:rFonts w:cstheme="minorHAnsi"/>
                <w:b/>
                <w:color w:val="00B050"/>
              </w:rPr>
              <w:t>+ uwaga 7 RCL</w:t>
            </w:r>
          </w:p>
        </w:tc>
        <w:tc>
          <w:tcPr>
            <w:tcW w:w="1701" w:type="dxa"/>
          </w:tcPr>
          <w:p w14:paraId="621379CE" w14:textId="77777777" w:rsidR="0059404D" w:rsidRPr="00F57DD1" w:rsidRDefault="0059404D" w:rsidP="0042202B">
            <w:pPr>
              <w:rPr>
                <w:rFonts w:cstheme="minorHAnsi"/>
                <w:b/>
              </w:rPr>
            </w:pPr>
            <w:r w:rsidRPr="00F57DD1">
              <w:rPr>
                <w:rFonts w:cstheme="minorHAnsi"/>
                <w:b/>
              </w:rPr>
              <w:t>Art. 53b ust. 3  UH</w:t>
            </w:r>
          </w:p>
        </w:tc>
        <w:tc>
          <w:tcPr>
            <w:tcW w:w="5953" w:type="dxa"/>
          </w:tcPr>
          <w:p w14:paraId="2034CE92" w14:textId="77777777" w:rsidR="0059404D" w:rsidRPr="00F57DD1" w:rsidRDefault="0059404D" w:rsidP="0042202B">
            <w:pPr>
              <w:rPr>
                <w:rFonts w:cstheme="minorHAnsi"/>
                <w:b/>
              </w:rPr>
            </w:pPr>
            <w:r w:rsidRPr="00F57DD1">
              <w:rPr>
                <w:rFonts w:cstheme="minorHAnsi"/>
                <w:b/>
              </w:rPr>
              <w:t>Uwaga analogiczna jak w pkt 7.</w:t>
            </w:r>
          </w:p>
          <w:p w14:paraId="0BFB8588" w14:textId="77777777" w:rsidR="0059404D" w:rsidRPr="00F57DD1" w:rsidRDefault="0059404D" w:rsidP="0042202B">
            <w:pPr>
              <w:rPr>
                <w:rFonts w:cstheme="minorHAnsi"/>
                <w:b/>
                <w:i/>
              </w:rPr>
            </w:pPr>
            <w:r w:rsidRPr="00F57DD1">
              <w:rPr>
                <w:rFonts w:cstheme="minorHAnsi"/>
                <w:b/>
                <w:i/>
              </w:rPr>
              <w:t>„3. Jeżeli przepisy Unii Europejskiej przewidują wycofanie z rynku pojazdu, przedmiotu wyposażenia lub części, Dyrektor TDT jako organ nadzoru rynku wydaje decyzję w tej sprawie nadając jej rygor natychmiastowej wykonalności.”.</w:t>
            </w:r>
          </w:p>
          <w:p w14:paraId="24E57EBF" w14:textId="12F63FD5" w:rsidR="0059404D" w:rsidRPr="00F57DD1" w:rsidRDefault="0059404D" w:rsidP="0042202B">
            <w:pPr>
              <w:rPr>
                <w:rFonts w:cstheme="minorHAnsi"/>
                <w:b/>
                <w:i/>
              </w:rPr>
            </w:pPr>
          </w:p>
        </w:tc>
        <w:tc>
          <w:tcPr>
            <w:tcW w:w="3827" w:type="dxa"/>
          </w:tcPr>
          <w:p w14:paraId="133C38B6" w14:textId="39A5D88C" w:rsidR="0059404D" w:rsidRPr="006A280C" w:rsidRDefault="0059404D" w:rsidP="0042202B">
            <w:pPr>
              <w:rPr>
                <w:rFonts w:cstheme="minorHAnsi"/>
                <w:b/>
              </w:rPr>
            </w:pPr>
            <w:r w:rsidRPr="006A280C">
              <w:rPr>
                <w:rFonts w:cstheme="minorHAnsi"/>
                <w:b/>
              </w:rPr>
              <w:t>Uwaga nieuwzględniona – nie jest możliwe nadanie każdej decyzji Dyrektora TDT rygoru natychmiastowej wykonalności, gdyż środki ujęte w decyzjach będą stosowane w zależności od rodzaju stwierdzonych niezgodności z wymaganiami technicznymi lub stopnia ryzyka stwarzanego przez pojazd, przedmiot wyposażenia lub część.</w:t>
            </w:r>
          </w:p>
        </w:tc>
        <w:tc>
          <w:tcPr>
            <w:tcW w:w="3686" w:type="dxa"/>
          </w:tcPr>
          <w:p w14:paraId="0E457AC1" w14:textId="7FADE4EE" w:rsidR="0059404D" w:rsidRPr="006A280C" w:rsidRDefault="0072272C" w:rsidP="0042202B">
            <w:pPr>
              <w:rPr>
                <w:rFonts w:cstheme="minorHAnsi"/>
                <w:b/>
              </w:rPr>
            </w:pPr>
            <w:r>
              <w:rPr>
                <w:rFonts w:cstheme="minorHAnsi"/>
                <w:b/>
              </w:rPr>
              <w:t xml:space="preserve">Akceptacja </w:t>
            </w:r>
          </w:p>
        </w:tc>
      </w:tr>
      <w:tr w:rsidR="0059404D" w:rsidRPr="00C66E5A" w14:paraId="15DF767F" w14:textId="1A8304B3" w:rsidTr="00D76FE7">
        <w:tc>
          <w:tcPr>
            <w:tcW w:w="562" w:type="dxa"/>
          </w:tcPr>
          <w:p w14:paraId="3F2806ED" w14:textId="77777777" w:rsidR="0059404D" w:rsidRPr="00C66E5A" w:rsidRDefault="0059404D" w:rsidP="0042202B">
            <w:pPr>
              <w:rPr>
                <w:rFonts w:cstheme="minorHAnsi"/>
                <w:b/>
              </w:rPr>
            </w:pPr>
            <w:r w:rsidRPr="00C66E5A">
              <w:rPr>
                <w:rFonts w:cstheme="minorHAnsi"/>
                <w:b/>
              </w:rPr>
              <w:t>51</w:t>
            </w:r>
          </w:p>
        </w:tc>
        <w:tc>
          <w:tcPr>
            <w:tcW w:w="993" w:type="dxa"/>
          </w:tcPr>
          <w:p w14:paraId="7D9E8617" w14:textId="77777777" w:rsidR="0059404D" w:rsidRPr="00C66E5A" w:rsidRDefault="0059404D" w:rsidP="0042202B">
            <w:pPr>
              <w:rPr>
                <w:rFonts w:cstheme="minorHAnsi"/>
                <w:b/>
              </w:rPr>
            </w:pPr>
            <w:r w:rsidRPr="00C66E5A">
              <w:rPr>
                <w:rFonts w:cstheme="minorHAnsi"/>
                <w:b/>
              </w:rPr>
              <w:t>MC</w:t>
            </w:r>
          </w:p>
        </w:tc>
        <w:tc>
          <w:tcPr>
            <w:tcW w:w="1701" w:type="dxa"/>
          </w:tcPr>
          <w:p w14:paraId="458B11F2" w14:textId="77777777" w:rsidR="0059404D" w:rsidRPr="00C66E5A" w:rsidRDefault="0059404D" w:rsidP="0042202B">
            <w:pPr>
              <w:rPr>
                <w:rFonts w:cstheme="minorHAnsi"/>
                <w:b/>
              </w:rPr>
            </w:pPr>
            <w:r w:rsidRPr="00C66E5A">
              <w:rPr>
                <w:rFonts w:cstheme="minorHAnsi"/>
                <w:b/>
              </w:rPr>
              <w:t>Art. 53c  UH</w:t>
            </w:r>
          </w:p>
        </w:tc>
        <w:tc>
          <w:tcPr>
            <w:tcW w:w="5953" w:type="dxa"/>
          </w:tcPr>
          <w:p w14:paraId="033C58D8" w14:textId="77777777" w:rsidR="0059404D" w:rsidRPr="00C66E5A" w:rsidRDefault="0059404D" w:rsidP="0042202B">
            <w:pPr>
              <w:rPr>
                <w:rFonts w:cstheme="minorHAnsi"/>
                <w:b/>
              </w:rPr>
            </w:pPr>
            <w:r w:rsidRPr="00C66E5A">
              <w:rPr>
                <w:rFonts w:cstheme="minorHAnsi"/>
                <w:b/>
              </w:rPr>
              <w:t>Art. 53c nakłada na podmiot gospodarczy, który zamontował w pojeździe dodatkową instalację zasilania gazem pojazdu, wbrew zakazowi określonemu w art. 14 ust. 6 ustawy, obowiązek zlecenia uprawnionemu podmiotowi wymiany, na swój koszt, zainstalowanej instalacji na instalację zgodną ze świadectwem homologacji montażu dodatkowej instalacji zasilania gazem pojazdu. Przepis nie określa jednak terminu ustawowego, w którym ten obowiązek ma zostać przez podmiot spełniony. W konsekwencji powyższego w praktyce również może dojść do sytuacji, w których podmiot z określonych powodów będzie zwlekał ze spełnieniem tego obowiązku, co bezpośrednio może zagrażać bezpieczeństwu w ruchu drogowym.</w:t>
            </w:r>
          </w:p>
          <w:p w14:paraId="3D290779" w14:textId="7CFA3D5B" w:rsidR="0059404D" w:rsidRPr="00C66E5A" w:rsidRDefault="0059404D" w:rsidP="0042202B">
            <w:pPr>
              <w:rPr>
                <w:rFonts w:cstheme="minorHAnsi"/>
                <w:b/>
                <w:i/>
              </w:rPr>
            </w:pPr>
            <w:r w:rsidRPr="00C66E5A">
              <w:rPr>
                <w:rFonts w:cstheme="minorHAnsi"/>
                <w:b/>
                <w:i/>
              </w:rPr>
              <w:t>„Art. 53c. Podmiot gospodarczy, który zamontował w pojeździe dodatkową instalację zasilania gazem pojazdu, wbrew zakazowi, o którym mowa  w art. 14 ust. 6, jest obowiązany niezwłocznie zlecić uprawnionemu podmiotowi wymianę, na swój koszt, zainstalowanej instalacji na instalację zgodną ze świadectwem homologacji montażu dodatkowej instalacji zasilania gazem pojazdu.”.</w:t>
            </w:r>
          </w:p>
        </w:tc>
        <w:tc>
          <w:tcPr>
            <w:tcW w:w="3827" w:type="dxa"/>
          </w:tcPr>
          <w:p w14:paraId="675B274E" w14:textId="77777777" w:rsidR="0059404D" w:rsidRDefault="0059404D" w:rsidP="0042202B">
            <w:pPr>
              <w:rPr>
                <w:rFonts w:cstheme="minorHAnsi"/>
                <w:b/>
              </w:rPr>
            </w:pPr>
            <w:r w:rsidRPr="00C66E5A">
              <w:rPr>
                <w:rFonts w:cstheme="minorHAnsi"/>
                <w:b/>
              </w:rPr>
              <w:t>Uwaga uwzględniona – doprecyzowano przepis.</w:t>
            </w:r>
          </w:p>
          <w:p w14:paraId="2EFFD4DF" w14:textId="74CDD7B9" w:rsidR="0059404D" w:rsidRPr="006A280C" w:rsidRDefault="0059404D" w:rsidP="0042202B">
            <w:pPr>
              <w:pStyle w:val="ZARTzmartartykuempunktem"/>
              <w:spacing w:line="240" w:lineRule="auto"/>
              <w:ind w:left="0" w:firstLine="0"/>
              <w:jc w:val="left"/>
              <w:rPr>
                <w:rFonts w:asciiTheme="minorHAnsi" w:hAnsiTheme="minorHAnsi" w:cstheme="minorHAnsi"/>
                <w:b/>
                <w:i/>
                <w:sz w:val="22"/>
                <w:szCs w:val="22"/>
              </w:rPr>
            </w:pPr>
            <w:r w:rsidRPr="006A280C">
              <w:rPr>
                <w:rFonts w:asciiTheme="minorHAnsi" w:hAnsiTheme="minorHAnsi" w:cstheme="minorHAnsi"/>
                <w:b/>
                <w:i/>
                <w:sz w:val="22"/>
                <w:szCs w:val="22"/>
              </w:rPr>
              <w:t>„Art. 53c. 1. Podmiot gospodarczy, który zamontował w pojeździe dodatkową instalację zasilania gazem pojazdu, wbrew zakazowi, o którym mowa w art. 14 ust. 6, jest obowiązany poinformować o tym niezwłocznie Dyrektora TDT jako organ nadzoru rynku, w tym o planowanych działaniach obejmujących zlecenie uprawnionemu podmiotowi wymiany, na swój koszt, zainstalowanej instalacji na instalację zgodną ze świadectwem homologacji montażu dodatkowej instalacji zasilania gazem pojazdu.</w:t>
            </w:r>
          </w:p>
          <w:p w14:paraId="27963A51" w14:textId="77777777" w:rsidR="0059404D" w:rsidRPr="006A280C" w:rsidRDefault="0059404D" w:rsidP="0042202B">
            <w:pPr>
              <w:pStyle w:val="ZUSTzmustartykuempunktem"/>
              <w:spacing w:line="240" w:lineRule="auto"/>
              <w:ind w:left="0" w:firstLine="0"/>
              <w:jc w:val="left"/>
              <w:rPr>
                <w:rFonts w:asciiTheme="minorHAnsi" w:hAnsiTheme="minorHAnsi" w:cstheme="minorHAnsi"/>
                <w:b/>
                <w:i/>
                <w:sz w:val="22"/>
                <w:szCs w:val="22"/>
              </w:rPr>
            </w:pPr>
            <w:r w:rsidRPr="006A280C">
              <w:rPr>
                <w:rFonts w:asciiTheme="minorHAnsi" w:hAnsiTheme="minorHAnsi" w:cstheme="minorHAnsi"/>
                <w:b/>
                <w:i/>
                <w:sz w:val="22"/>
                <w:szCs w:val="22"/>
              </w:rPr>
              <w:t xml:space="preserve">2. Dyrektor TDT jako organ nadzoru rynku weryfikuje przedstawione przez podmiot gospodarczy planowane działania, o których mowa w ust. 1, oraz ustala termin i podmiot, który dokona wymiany, o której mowa w ust. 1. </w:t>
            </w:r>
          </w:p>
          <w:p w14:paraId="6A107EDB" w14:textId="5E52DD42" w:rsidR="0059404D" w:rsidRPr="00EE385D" w:rsidRDefault="0059404D" w:rsidP="0042202B">
            <w:pPr>
              <w:pStyle w:val="ZARTzmartartykuempunktem"/>
              <w:spacing w:line="240" w:lineRule="auto"/>
              <w:ind w:left="0" w:firstLine="0"/>
              <w:jc w:val="left"/>
              <w:rPr>
                <w:rFonts w:asciiTheme="minorHAnsi" w:hAnsiTheme="minorHAnsi" w:cstheme="minorHAnsi"/>
                <w:b/>
                <w:i/>
                <w:sz w:val="22"/>
                <w:szCs w:val="22"/>
              </w:rPr>
            </w:pPr>
            <w:r w:rsidRPr="006A280C">
              <w:rPr>
                <w:rFonts w:asciiTheme="minorHAnsi" w:hAnsiTheme="minorHAnsi" w:cstheme="minorHAnsi"/>
                <w:b/>
                <w:i/>
                <w:sz w:val="22"/>
                <w:szCs w:val="22"/>
              </w:rPr>
              <w:t>3. Podmiot gospodarczy jest zobowiązany do poinformowania Dyrektora TDT o postępie w realizacji podjętych działań, o których mowa w ust. 1, co najmniej raz na kwartał.”</w:t>
            </w:r>
          </w:p>
        </w:tc>
        <w:tc>
          <w:tcPr>
            <w:tcW w:w="3686" w:type="dxa"/>
          </w:tcPr>
          <w:p w14:paraId="2F57FE8D" w14:textId="54E86A6A" w:rsidR="0059404D" w:rsidRPr="00C66E5A" w:rsidRDefault="0072272C" w:rsidP="0042202B">
            <w:pPr>
              <w:rPr>
                <w:rFonts w:cstheme="minorHAnsi"/>
                <w:b/>
              </w:rPr>
            </w:pPr>
            <w:r>
              <w:rPr>
                <w:rFonts w:cstheme="minorHAnsi"/>
                <w:b/>
              </w:rPr>
              <w:t xml:space="preserve">Akceptacja </w:t>
            </w:r>
          </w:p>
        </w:tc>
      </w:tr>
      <w:tr w:rsidR="0059404D" w:rsidRPr="00F515D6" w14:paraId="42799E3D" w14:textId="5DCD318D" w:rsidTr="00D76FE7">
        <w:tc>
          <w:tcPr>
            <w:tcW w:w="562" w:type="dxa"/>
          </w:tcPr>
          <w:p w14:paraId="38D19EEF" w14:textId="77777777" w:rsidR="0059404D" w:rsidRPr="00B26721" w:rsidRDefault="0059404D" w:rsidP="0042202B">
            <w:pPr>
              <w:rPr>
                <w:rFonts w:cstheme="minorHAnsi"/>
                <w:b/>
              </w:rPr>
            </w:pPr>
            <w:r w:rsidRPr="00B26721">
              <w:rPr>
                <w:rFonts w:cstheme="minorHAnsi"/>
                <w:b/>
              </w:rPr>
              <w:t>52</w:t>
            </w:r>
          </w:p>
        </w:tc>
        <w:tc>
          <w:tcPr>
            <w:tcW w:w="993" w:type="dxa"/>
          </w:tcPr>
          <w:p w14:paraId="5CCB0486" w14:textId="77777777" w:rsidR="0059404D" w:rsidRPr="00B26721" w:rsidRDefault="0059404D" w:rsidP="0042202B">
            <w:pPr>
              <w:rPr>
                <w:rFonts w:cstheme="minorHAnsi"/>
                <w:b/>
              </w:rPr>
            </w:pPr>
            <w:r w:rsidRPr="00B26721">
              <w:rPr>
                <w:rFonts w:cstheme="minorHAnsi"/>
                <w:b/>
              </w:rPr>
              <w:t>MC</w:t>
            </w:r>
          </w:p>
        </w:tc>
        <w:tc>
          <w:tcPr>
            <w:tcW w:w="1701" w:type="dxa"/>
          </w:tcPr>
          <w:p w14:paraId="73797061" w14:textId="77777777" w:rsidR="0059404D" w:rsidRPr="00B26721" w:rsidRDefault="0059404D" w:rsidP="0042202B">
            <w:pPr>
              <w:rPr>
                <w:rFonts w:cstheme="minorHAnsi"/>
                <w:b/>
              </w:rPr>
            </w:pPr>
            <w:r w:rsidRPr="00B26721">
              <w:rPr>
                <w:rFonts w:cstheme="minorHAnsi"/>
                <w:b/>
              </w:rPr>
              <w:t>Art. 68c ust. 1  UH</w:t>
            </w:r>
          </w:p>
        </w:tc>
        <w:tc>
          <w:tcPr>
            <w:tcW w:w="5953" w:type="dxa"/>
          </w:tcPr>
          <w:p w14:paraId="14D92211" w14:textId="77777777" w:rsidR="0059404D" w:rsidRPr="00B26721" w:rsidRDefault="0059404D" w:rsidP="0042202B">
            <w:pPr>
              <w:rPr>
                <w:rFonts w:cstheme="minorHAnsi"/>
                <w:b/>
              </w:rPr>
            </w:pPr>
            <w:r w:rsidRPr="00B26721">
              <w:rPr>
                <w:rFonts w:cstheme="minorHAnsi"/>
                <w:b/>
              </w:rPr>
              <w:t>Projekt stanowi, że Dyrektor TDT, w drodze decyzji administracyjnej, za opłatą, na wniosek producenta, przedstawiciela producenta, importera albo właściciela pojazdu, wydaje:</w:t>
            </w:r>
          </w:p>
          <w:p w14:paraId="68FC9E25" w14:textId="77777777" w:rsidR="0059404D" w:rsidRPr="00B26721" w:rsidRDefault="0059404D" w:rsidP="0042202B">
            <w:pPr>
              <w:rPr>
                <w:rFonts w:cstheme="minorHAnsi"/>
                <w:b/>
              </w:rPr>
            </w:pPr>
            <w:r w:rsidRPr="00B26721">
              <w:rPr>
                <w:rFonts w:cstheme="minorHAnsi"/>
                <w:b/>
              </w:rPr>
              <w:t>1) świadectwo unijnego indywidualnego dopuszczenia pojazdu;</w:t>
            </w:r>
          </w:p>
          <w:p w14:paraId="3E4BE595" w14:textId="77777777" w:rsidR="0059404D" w:rsidRPr="00B26721" w:rsidRDefault="0059404D" w:rsidP="0042202B">
            <w:pPr>
              <w:rPr>
                <w:rFonts w:cstheme="minorHAnsi"/>
                <w:b/>
              </w:rPr>
            </w:pPr>
            <w:r w:rsidRPr="00B26721">
              <w:rPr>
                <w:rFonts w:cstheme="minorHAnsi"/>
                <w:b/>
              </w:rPr>
              <w:t>2) świadectwo krajowego indywidualnego dopuszczenia nowego pojazdu</w:t>
            </w:r>
          </w:p>
          <w:p w14:paraId="00B34D70" w14:textId="77777777" w:rsidR="0059404D" w:rsidRPr="00B26721" w:rsidRDefault="0059404D" w:rsidP="0042202B">
            <w:pPr>
              <w:rPr>
                <w:rFonts w:cstheme="minorHAnsi"/>
                <w:b/>
              </w:rPr>
            </w:pPr>
            <w:r w:rsidRPr="00B26721">
              <w:rPr>
                <w:rFonts w:cstheme="minorHAnsi"/>
                <w:b/>
              </w:rPr>
              <w:t>– albo odmawia jego wydania.</w:t>
            </w:r>
          </w:p>
          <w:p w14:paraId="36726B2E" w14:textId="2BFF179A" w:rsidR="0059404D" w:rsidRPr="00B26721" w:rsidRDefault="0059404D" w:rsidP="0042202B">
            <w:pPr>
              <w:rPr>
                <w:rFonts w:cstheme="minorHAnsi"/>
                <w:b/>
              </w:rPr>
            </w:pPr>
            <w:r w:rsidRPr="00B26721">
              <w:rPr>
                <w:rFonts w:cstheme="minorHAnsi"/>
                <w:b/>
              </w:rPr>
              <w:t xml:space="preserve">Przepis nie precyzuje, w jakiej formie wniosek ma być składany, co w praktyce może budzić wątpliwości interpretacyjne, zwłaszcza w kontekście brzmienia art. 68g ust. 1 projektu, gdzie ustawodawca precyzyjnie określa, że świadectwo krajowego indywidualnego dopuszczenia pojazdu niebędącego nowym pojazdem jest wydawane na wniosek właściciela pojazdu </w:t>
            </w:r>
            <w:bookmarkStart w:id="42" w:name="_Hlk219121899"/>
            <w:r w:rsidRPr="00B26721">
              <w:rPr>
                <w:rFonts w:cstheme="minorHAnsi"/>
                <w:b/>
              </w:rPr>
              <w:t>złożony w formie pisemnej, w postaci papierowej lub elektronicznej</w:t>
            </w:r>
            <w:bookmarkEnd w:id="42"/>
            <w:r w:rsidRPr="00B26721">
              <w:rPr>
                <w:rFonts w:cstheme="minorHAnsi"/>
                <w:b/>
              </w:rPr>
              <w:t>. Z uwagi na potrzebę zapewnienia spójności proponowanych regulacji, proponuje się dookreślenie formy w jakiej należy składać wniosek.</w:t>
            </w:r>
          </w:p>
          <w:p w14:paraId="5E86929C" w14:textId="77777777" w:rsidR="0059404D" w:rsidRPr="00B26721" w:rsidRDefault="0059404D" w:rsidP="0042202B">
            <w:pPr>
              <w:rPr>
                <w:rFonts w:cstheme="minorHAnsi"/>
                <w:b/>
                <w:i/>
              </w:rPr>
            </w:pPr>
            <w:r w:rsidRPr="00B26721">
              <w:rPr>
                <w:rFonts w:cstheme="minorHAnsi"/>
                <w:b/>
                <w:i/>
              </w:rPr>
              <w:t xml:space="preserve">„Art. 68c. 1. Dyrektor TDT, w drodze decyzji administracyjnej, za opłatą, na wniosek producenta, przedstawiciela producenta, importera albo właściciela pojazdu, złożony w formie pisemnej, w postaci papierowej lub elektronicznej, wydaje: </w:t>
            </w:r>
          </w:p>
          <w:p w14:paraId="6BB34EC6" w14:textId="3789D63C" w:rsidR="0059404D" w:rsidRPr="00B26721" w:rsidRDefault="0059404D" w:rsidP="0042202B">
            <w:pPr>
              <w:rPr>
                <w:rFonts w:cstheme="minorHAnsi"/>
                <w:b/>
                <w:i/>
              </w:rPr>
            </w:pPr>
            <w:r w:rsidRPr="00B26721">
              <w:rPr>
                <w:rFonts w:cstheme="minorHAnsi"/>
                <w:b/>
                <w:i/>
              </w:rPr>
              <w:t>1) świadectwo unijnego indywidualnego dopuszczenia pojazdu,</w:t>
            </w:r>
          </w:p>
          <w:p w14:paraId="58E1F58B" w14:textId="7F59EA98" w:rsidR="0059404D" w:rsidRPr="00B26721" w:rsidRDefault="0059404D" w:rsidP="0042202B">
            <w:pPr>
              <w:rPr>
                <w:rFonts w:cstheme="minorHAnsi"/>
                <w:b/>
                <w:i/>
              </w:rPr>
            </w:pPr>
            <w:r w:rsidRPr="00B26721">
              <w:rPr>
                <w:rFonts w:cstheme="minorHAnsi"/>
                <w:b/>
                <w:i/>
              </w:rPr>
              <w:t xml:space="preserve">2) świadectwo krajowego indywidualnego dopuszczenia nowego pojazdu </w:t>
            </w:r>
          </w:p>
          <w:p w14:paraId="6F95B9D3" w14:textId="3DEC8FF1" w:rsidR="0059404D" w:rsidRPr="00B26721" w:rsidRDefault="0059404D" w:rsidP="0042202B">
            <w:pPr>
              <w:rPr>
                <w:rFonts w:cstheme="minorHAnsi"/>
                <w:b/>
                <w:i/>
              </w:rPr>
            </w:pPr>
            <w:r w:rsidRPr="00B26721">
              <w:rPr>
                <w:rFonts w:cstheme="minorHAnsi"/>
                <w:b/>
                <w:i/>
              </w:rPr>
              <w:t>– albo odmawia jego wydania.”.</w:t>
            </w:r>
          </w:p>
        </w:tc>
        <w:tc>
          <w:tcPr>
            <w:tcW w:w="3827" w:type="dxa"/>
          </w:tcPr>
          <w:p w14:paraId="34A22675" w14:textId="77777777" w:rsidR="0059404D" w:rsidRDefault="0059404D" w:rsidP="0042202B">
            <w:pPr>
              <w:rPr>
                <w:rFonts w:cstheme="minorHAnsi"/>
                <w:b/>
              </w:rPr>
            </w:pPr>
            <w:r w:rsidRPr="00B26721">
              <w:rPr>
                <w:rFonts w:cstheme="minorHAnsi"/>
                <w:b/>
              </w:rPr>
              <w:t>Uwaga uwzględniona</w:t>
            </w:r>
            <w:r>
              <w:rPr>
                <w:rFonts w:cstheme="minorHAnsi"/>
                <w:b/>
              </w:rPr>
              <w:t xml:space="preserve"> poprzez zmianę przepisu - </w:t>
            </w:r>
            <w:r w:rsidRPr="005E4D9A">
              <w:rPr>
                <w:rFonts w:cstheme="minorHAnsi"/>
                <w:b/>
              </w:rPr>
              <w:t xml:space="preserve"> wniosek </w:t>
            </w:r>
            <w:r>
              <w:rPr>
                <w:rFonts w:cstheme="minorHAnsi"/>
                <w:b/>
              </w:rPr>
              <w:t xml:space="preserve">może być </w:t>
            </w:r>
            <w:r w:rsidRPr="005E4D9A">
              <w:rPr>
                <w:rFonts w:cstheme="minorHAnsi"/>
                <w:b/>
              </w:rPr>
              <w:t>złożony w formie pisemnej, w postaci papierowej lub elektronicznej</w:t>
            </w:r>
            <w:r>
              <w:rPr>
                <w:rFonts w:cstheme="minorHAnsi"/>
                <w:b/>
              </w:rPr>
              <w:t xml:space="preserve">. </w:t>
            </w:r>
          </w:p>
          <w:p w14:paraId="58A08D93" w14:textId="77777777" w:rsidR="0059404D" w:rsidRDefault="0059404D" w:rsidP="0042202B">
            <w:pPr>
              <w:rPr>
                <w:rFonts w:cstheme="minorHAnsi"/>
                <w:b/>
              </w:rPr>
            </w:pPr>
          </w:p>
          <w:p w14:paraId="22642196" w14:textId="599A1CDD" w:rsidR="0059404D" w:rsidRPr="006A280C" w:rsidRDefault="0059404D" w:rsidP="0042202B">
            <w:pPr>
              <w:pStyle w:val="ZARTzmartartykuempunktem"/>
              <w:keepNext/>
              <w:spacing w:line="240" w:lineRule="auto"/>
              <w:ind w:left="0" w:firstLine="0"/>
              <w:contextualSpacing/>
              <w:jc w:val="left"/>
              <w:rPr>
                <w:rFonts w:asciiTheme="minorHAnsi" w:hAnsiTheme="minorHAnsi" w:cstheme="minorHAnsi"/>
                <w:b/>
                <w:i/>
                <w:sz w:val="22"/>
                <w:szCs w:val="22"/>
              </w:rPr>
            </w:pPr>
            <w:r>
              <w:rPr>
                <w:rFonts w:asciiTheme="minorHAnsi" w:hAnsiTheme="minorHAnsi" w:cstheme="minorHAnsi"/>
                <w:b/>
                <w:i/>
                <w:sz w:val="22"/>
                <w:szCs w:val="22"/>
              </w:rPr>
              <w:t>„</w:t>
            </w:r>
            <w:r w:rsidRPr="006A280C">
              <w:rPr>
                <w:rFonts w:asciiTheme="minorHAnsi" w:hAnsiTheme="minorHAnsi" w:cstheme="minorHAnsi"/>
                <w:b/>
                <w:i/>
                <w:sz w:val="22"/>
                <w:szCs w:val="22"/>
              </w:rPr>
              <w:t xml:space="preserve">Art. 68c. 1. Dyrektor TDT, w drodze decyzji administracyjnej, za opłatą, na wniosek producenta, przedstawiciela producenta, importera albo właściciela pojazdu, złożony w formie pisemnej, w postaci papierowej lub elektronicznej, wydaje: </w:t>
            </w:r>
          </w:p>
          <w:p w14:paraId="76694185" w14:textId="77777777" w:rsidR="0059404D" w:rsidRPr="006A280C" w:rsidRDefault="0059404D" w:rsidP="0042202B">
            <w:pPr>
              <w:pStyle w:val="ZPKTzmpktartykuempunktem"/>
              <w:spacing w:line="240" w:lineRule="auto"/>
              <w:ind w:left="510"/>
              <w:contextualSpacing/>
              <w:jc w:val="left"/>
              <w:rPr>
                <w:rFonts w:asciiTheme="minorHAnsi" w:hAnsiTheme="minorHAnsi" w:cstheme="minorHAnsi"/>
                <w:b/>
                <w:i/>
                <w:sz w:val="22"/>
                <w:szCs w:val="22"/>
              </w:rPr>
            </w:pPr>
            <w:r w:rsidRPr="006A280C">
              <w:rPr>
                <w:rFonts w:asciiTheme="minorHAnsi" w:hAnsiTheme="minorHAnsi" w:cstheme="minorHAnsi"/>
                <w:b/>
                <w:i/>
                <w:sz w:val="22"/>
                <w:szCs w:val="22"/>
              </w:rPr>
              <w:t xml:space="preserve">1) </w:t>
            </w:r>
            <w:r w:rsidRPr="006A280C">
              <w:rPr>
                <w:rFonts w:asciiTheme="minorHAnsi" w:hAnsiTheme="minorHAnsi" w:cstheme="minorHAnsi"/>
                <w:b/>
                <w:i/>
                <w:sz w:val="22"/>
                <w:szCs w:val="22"/>
              </w:rPr>
              <w:tab/>
              <w:t>świadectwo unijnego indywidualnego dopuszczenia pojazdu;</w:t>
            </w:r>
          </w:p>
          <w:p w14:paraId="3F0376D7" w14:textId="77777777" w:rsidR="0059404D" w:rsidRPr="006A280C" w:rsidRDefault="0059404D" w:rsidP="0042202B">
            <w:pPr>
              <w:pStyle w:val="ZPKTzmpktartykuempunktem"/>
              <w:keepNext/>
              <w:spacing w:line="240" w:lineRule="auto"/>
              <w:ind w:left="510"/>
              <w:contextualSpacing/>
              <w:jc w:val="left"/>
              <w:rPr>
                <w:rFonts w:asciiTheme="minorHAnsi" w:hAnsiTheme="minorHAnsi" w:cstheme="minorHAnsi"/>
                <w:b/>
                <w:i/>
                <w:sz w:val="22"/>
                <w:szCs w:val="22"/>
              </w:rPr>
            </w:pPr>
            <w:r w:rsidRPr="006A280C">
              <w:rPr>
                <w:rFonts w:asciiTheme="minorHAnsi" w:hAnsiTheme="minorHAnsi" w:cstheme="minorHAnsi"/>
                <w:b/>
                <w:i/>
                <w:sz w:val="22"/>
                <w:szCs w:val="22"/>
              </w:rPr>
              <w:t xml:space="preserve">2) </w:t>
            </w:r>
            <w:r w:rsidRPr="006A280C">
              <w:rPr>
                <w:rFonts w:asciiTheme="minorHAnsi" w:hAnsiTheme="minorHAnsi" w:cstheme="minorHAnsi"/>
                <w:b/>
                <w:i/>
                <w:sz w:val="22"/>
                <w:szCs w:val="22"/>
              </w:rPr>
              <w:tab/>
              <w:t xml:space="preserve">świadectwo krajowego indywidualnego dopuszczenia nowego pojazdu </w:t>
            </w:r>
          </w:p>
          <w:p w14:paraId="02F2E2C3" w14:textId="4E114D7F" w:rsidR="0059404D" w:rsidRPr="006A280C" w:rsidRDefault="0059404D" w:rsidP="0042202B">
            <w:pPr>
              <w:pStyle w:val="ZCZWSPPKTzmczciwsppktartykuempunktem"/>
              <w:spacing w:line="240" w:lineRule="auto"/>
              <w:ind w:left="0"/>
              <w:contextualSpacing/>
              <w:jc w:val="left"/>
              <w:rPr>
                <w:rFonts w:asciiTheme="minorHAnsi" w:hAnsiTheme="minorHAnsi" w:cstheme="minorHAnsi"/>
                <w:b/>
                <w:i/>
                <w:sz w:val="22"/>
                <w:szCs w:val="22"/>
              </w:rPr>
            </w:pPr>
            <w:r w:rsidRPr="006A280C">
              <w:rPr>
                <w:rFonts w:asciiTheme="minorHAnsi" w:hAnsiTheme="minorHAnsi" w:cstheme="minorHAnsi"/>
                <w:b/>
                <w:i/>
                <w:sz w:val="22"/>
                <w:szCs w:val="22"/>
              </w:rPr>
              <w:t>– albo odmawia jego wydania.</w:t>
            </w:r>
            <w:r>
              <w:rPr>
                <w:rFonts w:asciiTheme="minorHAnsi" w:hAnsiTheme="minorHAnsi" w:cstheme="minorHAnsi"/>
                <w:b/>
                <w:i/>
                <w:sz w:val="22"/>
                <w:szCs w:val="22"/>
              </w:rPr>
              <w:t>”</w:t>
            </w:r>
          </w:p>
          <w:p w14:paraId="5E06B5CF" w14:textId="08D6E9BE" w:rsidR="0059404D" w:rsidRPr="00F86852" w:rsidRDefault="0059404D" w:rsidP="0042202B">
            <w:pPr>
              <w:rPr>
                <w:rFonts w:cstheme="minorHAnsi"/>
                <w:b/>
                <w:color w:val="FF0000"/>
              </w:rPr>
            </w:pPr>
          </w:p>
        </w:tc>
        <w:tc>
          <w:tcPr>
            <w:tcW w:w="3686" w:type="dxa"/>
          </w:tcPr>
          <w:p w14:paraId="23F2CF42" w14:textId="703391F9" w:rsidR="0059404D" w:rsidRPr="00B26721" w:rsidRDefault="0072272C" w:rsidP="0042202B">
            <w:pPr>
              <w:rPr>
                <w:rFonts w:cstheme="minorHAnsi"/>
                <w:b/>
              </w:rPr>
            </w:pPr>
            <w:r>
              <w:rPr>
                <w:rFonts w:cstheme="minorHAnsi"/>
                <w:b/>
              </w:rPr>
              <w:t xml:space="preserve">Akceptacja </w:t>
            </w:r>
          </w:p>
        </w:tc>
      </w:tr>
      <w:tr w:rsidR="0059404D" w:rsidRPr="00F515D6" w14:paraId="0EFBC585" w14:textId="3505D312" w:rsidTr="00D76FE7">
        <w:tc>
          <w:tcPr>
            <w:tcW w:w="562" w:type="dxa"/>
          </w:tcPr>
          <w:p w14:paraId="4EB87468" w14:textId="77777777" w:rsidR="0059404D" w:rsidRPr="006A280C" w:rsidRDefault="0059404D" w:rsidP="0042202B">
            <w:pPr>
              <w:rPr>
                <w:rFonts w:cstheme="minorHAnsi"/>
                <w:b/>
              </w:rPr>
            </w:pPr>
            <w:r w:rsidRPr="006A280C">
              <w:rPr>
                <w:rFonts w:cstheme="minorHAnsi"/>
                <w:b/>
              </w:rPr>
              <w:t>53</w:t>
            </w:r>
          </w:p>
        </w:tc>
        <w:tc>
          <w:tcPr>
            <w:tcW w:w="993" w:type="dxa"/>
          </w:tcPr>
          <w:p w14:paraId="4D126164" w14:textId="77777777" w:rsidR="0059404D" w:rsidRDefault="0059404D" w:rsidP="0042202B">
            <w:pPr>
              <w:rPr>
                <w:rFonts w:cstheme="minorHAnsi"/>
                <w:b/>
              </w:rPr>
            </w:pPr>
            <w:r w:rsidRPr="006A280C">
              <w:rPr>
                <w:rFonts w:cstheme="minorHAnsi"/>
                <w:b/>
              </w:rPr>
              <w:t>MC</w:t>
            </w:r>
          </w:p>
          <w:p w14:paraId="1556A95A" w14:textId="0C3EB02C" w:rsidR="0059404D" w:rsidRPr="00450941" w:rsidRDefault="0059404D" w:rsidP="0042202B">
            <w:pPr>
              <w:rPr>
                <w:rFonts w:cstheme="minorHAnsi"/>
                <w:b/>
                <w:color w:val="00B050"/>
              </w:rPr>
            </w:pPr>
            <w:r>
              <w:rPr>
                <w:rFonts w:cstheme="minorHAnsi"/>
                <w:b/>
                <w:color w:val="00B050"/>
              </w:rPr>
              <w:t xml:space="preserve">+powiazane z uwagą 11 RCL dot. </w:t>
            </w:r>
            <w:r w:rsidRPr="006A280C">
              <w:rPr>
                <w:rFonts w:cstheme="minorHAnsi"/>
                <w:b/>
              </w:rPr>
              <w:t xml:space="preserve"> </w:t>
            </w:r>
            <w:r w:rsidRPr="00450941">
              <w:rPr>
                <w:rFonts w:cstheme="minorHAnsi"/>
                <w:b/>
                <w:color w:val="00B050"/>
              </w:rPr>
              <w:t xml:space="preserve">art. 68j ust. 5 </w:t>
            </w:r>
          </w:p>
        </w:tc>
        <w:tc>
          <w:tcPr>
            <w:tcW w:w="1701" w:type="dxa"/>
          </w:tcPr>
          <w:p w14:paraId="38ABA6EE" w14:textId="77777777" w:rsidR="0059404D" w:rsidRPr="006A280C" w:rsidRDefault="0059404D" w:rsidP="0042202B">
            <w:pPr>
              <w:rPr>
                <w:rFonts w:cstheme="minorHAnsi"/>
                <w:b/>
              </w:rPr>
            </w:pPr>
            <w:r w:rsidRPr="006A280C">
              <w:rPr>
                <w:rFonts w:cstheme="minorHAnsi"/>
                <w:b/>
              </w:rPr>
              <w:t>Art. 68e ust. 3, art. 68f ust. 3 oraz art. 68j ust. 5 pkt 1 UH</w:t>
            </w:r>
          </w:p>
        </w:tc>
        <w:tc>
          <w:tcPr>
            <w:tcW w:w="5953" w:type="dxa"/>
          </w:tcPr>
          <w:p w14:paraId="2C2FCC02" w14:textId="375AE9B7" w:rsidR="0059404D" w:rsidRPr="006A280C" w:rsidRDefault="0059404D" w:rsidP="0042202B">
            <w:pPr>
              <w:rPr>
                <w:rFonts w:cstheme="minorHAnsi"/>
                <w:b/>
              </w:rPr>
            </w:pPr>
            <w:r w:rsidRPr="006A280C">
              <w:rPr>
                <w:rFonts w:cstheme="minorHAnsi"/>
                <w:b/>
              </w:rPr>
              <w:t>Art. 68e ust. 3, art. 68f ust. 3 oraz art. 68j ust. 5 pkt 1 projektu przewidują możliwość cofnięcia przez Dyrektora TDT, w drodze decyzji administracyjnej, odpowiednio świadectwa unijnego indywidualnego dopuszczenia pojazdu, świadectwa krajowego indywidualnego dopuszczenia pojazdu nowego oraz świadectwa krajowego indywidualnego dopuszczenia pojazdu niebędącego nowym pojazdem. Jednocześnie projekt nie określa trybu postępowania po wydaniu ww. decyzji, w szczególności projekt nie rozstrzyga czy informacja o cofnięciu ww. świadectwa jest przekazywana do centralnej ewidencji pojazdów oraz jaki jest tryb postępowania w przypadku gdy na podstawie cofniętego świadectwa pojazd został już zarejestrowany. Biorąc pod uwagę konieczność zapewnienia przejrzystego prawa, proponuje się aby ww. kwestia uregulowana została na poziomie ustawy.</w:t>
            </w:r>
          </w:p>
        </w:tc>
        <w:tc>
          <w:tcPr>
            <w:tcW w:w="3827" w:type="dxa"/>
          </w:tcPr>
          <w:p w14:paraId="1584BFD7" w14:textId="2FDD667E" w:rsidR="0059404D" w:rsidRDefault="0059404D" w:rsidP="0042202B">
            <w:pPr>
              <w:pStyle w:val="Tekstkomentarza"/>
              <w:rPr>
                <w:rFonts w:cstheme="minorHAnsi"/>
                <w:b/>
                <w:sz w:val="22"/>
                <w:szCs w:val="22"/>
              </w:rPr>
            </w:pPr>
            <w:r w:rsidRPr="005E4D9A">
              <w:rPr>
                <w:rFonts w:cstheme="minorHAnsi"/>
                <w:b/>
                <w:sz w:val="22"/>
                <w:szCs w:val="22"/>
              </w:rPr>
              <w:t xml:space="preserve">Uwaga wyjaśniona </w:t>
            </w:r>
            <w:r>
              <w:rPr>
                <w:rFonts w:cstheme="minorHAnsi"/>
                <w:b/>
                <w:sz w:val="22"/>
                <w:szCs w:val="22"/>
              </w:rPr>
              <w:t xml:space="preserve">– w zmianie art. 80b w ust. 1 dodano: </w:t>
            </w:r>
          </w:p>
          <w:p w14:paraId="67EF36A8" w14:textId="21A36C76" w:rsidR="0059404D" w:rsidRDefault="0059404D" w:rsidP="0042202B">
            <w:pPr>
              <w:pStyle w:val="Tekstkomentarza"/>
              <w:rPr>
                <w:rFonts w:cstheme="minorHAnsi"/>
                <w:b/>
                <w:sz w:val="22"/>
                <w:szCs w:val="22"/>
              </w:rPr>
            </w:pPr>
            <w:r>
              <w:rPr>
                <w:rFonts w:cstheme="minorHAnsi"/>
                <w:b/>
                <w:sz w:val="22"/>
                <w:szCs w:val="22"/>
              </w:rPr>
              <w:t xml:space="preserve">a) pkt 18c - </w:t>
            </w:r>
            <w:r w:rsidRPr="005E4D9A">
              <w:rPr>
                <w:rFonts w:cstheme="minorHAnsi"/>
                <w:b/>
                <w:sz w:val="22"/>
                <w:szCs w:val="22"/>
              </w:rPr>
              <w:t>przekazywani</w:t>
            </w:r>
            <w:r>
              <w:rPr>
                <w:rFonts w:cstheme="minorHAnsi"/>
                <w:b/>
                <w:sz w:val="22"/>
                <w:szCs w:val="22"/>
              </w:rPr>
              <w:t>e</w:t>
            </w:r>
            <w:r w:rsidRPr="005E4D9A">
              <w:rPr>
                <w:rFonts w:cstheme="minorHAnsi"/>
                <w:b/>
                <w:sz w:val="22"/>
                <w:szCs w:val="22"/>
              </w:rPr>
              <w:t xml:space="preserve"> decyzji do </w:t>
            </w:r>
            <w:r>
              <w:rPr>
                <w:rFonts w:cstheme="minorHAnsi"/>
                <w:b/>
                <w:sz w:val="22"/>
                <w:szCs w:val="22"/>
              </w:rPr>
              <w:t>CEP</w:t>
            </w:r>
            <w:r w:rsidRPr="005E4D9A">
              <w:rPr>
                <w:rFonts w:cstheme="minorHAnsi"/>
                <w:b/>
                <w:sz w:val="22"/>
                <w:szCs w:val="22"/>
              </w:rPr>
              <w:t xml:space="preserve"> o wycofaniu pojazdu </w:t>
            </w:r>
            <w:r>
              <w:rPr>
                <w:rFonts w:cstheme="minorHAnsi"/>
                <w:b/>
                <w:sz w:val="22"/>
                <w:szCs w:val="22"/>
              </w:rPr>
              <w:t xml:space="preserve">z rynku lub użytku </w:t>
            </w:r>
            <w:r w:rsidRPr="005E4D9A">
              <w:rPr>
                <w:rFonts w:cstheme="minorHAnsi"/>
                <w:b/>
                <w:sz w:val="22"/>
                <w:szCs w:val="22"/>
              </w:rPr>
              <w:t xml:space="preserve"> </w:t>
            </w:r>
            <w:r>
              <w:rPr>
                <w:rFonts w:cstheme="minorHAnsi"/>
                <w:b/>
                <w:sz w:val="22"/>
                <w:szCs w:val="22"/>
              </w:rPr>
              <w:t>- będzie to</w:t>
            </w:r>
            <w:r w:rsidRPr="005E4D9A">
              <w:rPr>
                <w:rFonts w:cstheme="minorHAnsi"/>
                <w:b/>
                <w:sz w:val="22"/>
                <w:szCs w:val="22"/>
              </w:rPr>
              <w:t xml:space="preserve"> dotyczy</w:t>
            </w:r>
            <w:r>
              <w:rPr>
                <w:rFonts w:cstheme="minorHAnsi"/>
                <w:b/>
                <w:sz w:val="22"/>
                <w:szCs w:val="22"/>
              </w:rPr>
              <w:t>ć</w:t>
            </w:r>
            <w:r w:rsidRPr="005E4D9A">
              <w:rPr>
                <w:rFonts w:cstheme="minorHAnsi"/>
                <w:b/>
                <w:sz w:val="22"/>
                <w:szCs w:val="22"/>
              </w:rPr>
              <w:t xml:space="preserve"> </w:t>
            </w:r>
            <w:r>
              <w:rPr>
                <w:rFonts w:cstheme="minorHAnsi"/>
                <w:b/>
                <w:sz w:val="22"/>
                <w:szCs w:val="22"/>
              </w:rPr>
              <w:t xml:space="preserve">pojazdów objętych </w:t>
            </w:r>
            <w:r w:rsidRPr="005E4D9A">
              <w:rPr>
                <w:rFonts w:cstheme="minorHAnsi"/>
                <w:b/>
                <w:sz w:val="22"/>
                <w:szCs w:val="22"/>
              </w:rPr>
              <w:t>dopuszcze</w:t>
            </w:r>
            <w:r>
              <w:rPr>
                <w:rFonts w:cstheme="minorHAnsi"/>
                <w:b/>
                <w:sz w:val="22"/>
                <w:szCs w:val="22"/>
              </w:rPr>
              <w:t>niami indywidualnymi</w:t>
            </w:r>
            <w:r w:rsidRPr="005E4D9A">
              <w:rPr>
                <w:rFonts w:cstheme="minorHAnsi"/>
                <w:b/>
                <w:sz w:val="22"/>
                <w:szCs w:val="22"/>
              </w:rPr>
              <w:t xml:space="preserve"> i </w:t>
            </w:r>
            <w:r>
              <w:rPr>
                <w:rFonts w:cstheme="minorHAnsi"/>
                <w:b/>
                <w:sz w:val="22"/>
                <w:szCs w:val="22"/>
              </w:rPr>
              <w:t xml:space="preserve">świadectwami </w:t>
            </w:r>
            <w:r w:rsidRPr="005E4D9A">
              <w:rPr>
                <w:rFonts w:cstheme="minorHAnsi"/>
                <w:b/>
                <w:sz w:val="22"/>
                <w:szCs w:val="22"/>
              </w:rPr>
              <w:t>homologacji</w:t>
            </w:r>
            <w:r>
              <w:rPr>
                <w:rFonts w:cstheme="minorHAnsi"/>
                <w:b/>
                <w:sz w:val="22"/>
                <w:szCs w:val="22"/>
              </w:rPr>
              <w:t xml:space="preserve"> wobec których podjęto działania w ramach nadzoru rynku</w:t>
            </w:r>
            <w:r w:rsidRPr="005E4D9A">
              <w:rPr>
                <w:rFonts w:cstheme="minorHAnsi"/>
                <w:b/>
                <w:sz w:val="22"/>
                <w:szCs w:val="22"/>
              </w:rPr>
              <w:t xml:space="preserve">. </w:t>
            </w:r>
          </w:p>
          <w:p w14:paraId="5C357135" w14:textId="0FC9FFA8" w:rsidR="0059404D" w:rsidRDefault="0059404D" w:rsidP="0042202B">
            <w:pPr>
              <w:pStyle w:val="Tekstkomentarza"/>
              <w:rPr>
                <w:rFonts w:cstheme="minorHAnsi"/>
                <w:b/>
                <w:sz w:val="22"/>
                <w:szCs w:val="22"/>
              </w:rPr>
            </w:pPr>
            <w:r>
              <w:rPr>
                <w:rFonts w:cstheme="minorHAnsi"/>
                <w:b/>
                <w:sz w:val="22"/>
                <w:szCs w:val="22"/>
              </w:rPr>
              <w:t xml:space="preserve">b) pkt 18d – przekazywanie do CEP o </w:t>
            </w:r>
          </w:p>
          <w:p w14:paraId="661D07A5" w14:textId="37C16851" w:rsidR="0059404D" w:rsidRDefault="0059404D" w:rsidP="0042202B">
            <w:pPr>
              <w:pStyle w:val="Tekstkomentarza"/>
              <w:rPr>
                <w:rFonts w:cstheme="minorHAnsi"/>
                <w:b/>
                <w:sz w:val="22"/>
                <w:szCs w:val="22"/>
              </w:rPr>
            </w:pPr>
            <w:bookmarkStart w:id="43" w:name="_Hlk221810415"/>
            <w:r w:rsidRPr="0025258E">
              <w:rPr>
                <w:rFonts w:cstheme="minorHAnsi"/>
                <w:b/>
                <w:sz w:val="22"/>
                <w:szCs w:val="22"/>
              </w:rPr>
              <w:t>świadectw</w:t>
            </w:r>
            <w:r>
              <w:rPr>
                <w:rFonts w:cstheme="minorHAnsi"/>
                <w:b/>
                <w:sz w:val="22"/>
                <w:szCs w:val="22"/>
              </w:rPr>
              <w:t>ach</w:t>
            </w:r>
            <w:r w:rsidRPr="0025258E">
              <w:rPr>
                <w:rFonts w:cstheme="minorHAnsi"/>
                <w:b/>
                <w:sz w:val="22"/>
                <w:szCs w:val="22"/>
              </w:rPr>
              <w:t xml:space="preserve"> krajowego indywidualnego dopuszczenia pojazdu niebędącego nowym pojazdem albo zaświadczeniu o braku spełnienia wymagań do wydania świadectwa krajowego indywidualnego dopuszczenia pojazdu niebędącego nowym pojazdem</w:t>
            </w:r>
            <w:r>
              <w:rPr>
                <w:rFonts w:cstheme="minorHAnsi"/>
                <w:b/>
                <w:sz w:val="22"/>
                <w:szCs w:val="22"/>
              </w:rPr>
              <w:t xml:space="preserve">. </w:t>
            </w:r>
          </w:p>
          <w:p w14:paraId="40B23082" w14:textId="743934A0" w:rsidR="0059404D" w:rsidRPr="00EE385D" w:rsidRDefault="0059404D" w:rsidP="0042202B">
            <w:pPr>
              <w:pStyle w:val="Tekstkomentarza"/>
              <w:rPr>
                <w:rFonts w:cstheme="minorHAnsi"/>
                <w:b/>
                <w:sz w:val="22"/>
                <w:szCs w:val="22"/>
              </w:rPr>
            </w:pPr>
            <w:r>
              <w:rPr>
                <w:rFonts w:cstheme="minorHAnsi"/>
                <w:b/>
                <w:sz w:val="22"/>
                <w:szCs w:val="22"/>
              </w:rPr>
              <w:t xml:space="preserve">Dodatkowo zmiany art. 80ba ust. 1 w zakresie podmiotów przekazujących dane do CEP – rozszerzenie zakresu skp i TDT.  </w:t>
            </w:r>
            <w:bookmarkEnd w:id="43"/>
          </w:p>
        </w:tc>
        <w:tc>
          <w:tcPr>
            <w:tcW w:w="3686" w:type="dxa"/>
          </w:tcPr>
          <w:p w14:paraId="1773DB9C" w14:textId="77777777" w:rsidR="00F96EBD" w:rsidRDefault="000B75B6" w:rsidP="0042202B">
            <w:pPr>
              <w:pStyle w:val="Tekstkomentarza"/>
              <w:rPr>
                <w:rFonts w:cstheme="minorHAnsi"/>
                <w:b/>
                <w:sz w:val="22"/>
                <w:szCs w:val="22"/>
              </w:rPr>
            </w:pPr>
            <w:r>
              <w:rPr>
                <w:rFonts w:cstheme="minorHAnsi"/>
                <w:b/>
                <w:sz w:val="22"/>
                <w:szCs w:val="22"/>
              </w:rPr>
              <w:t>Do ustalenia zakres przekazywanych danych</w:t>
            </w:r>
            <w:r w:rsidR="003273C8">
              <w:rPr>
                <w:rFonts w:cstheme="minorHAnsi"/>
                <w:b/>
                <w:sz w:val="22"/>
                <w:szCs w:val="22"/>
              </w:rPr>
              <w:t xml:space="preserve"> – w trakcie spotkania z MC</w:t>
            </w:r>
            <w:r>
              <w:rPr>
                <w:rFonts w:cstheme="minorHAnsi"/>
                <w:b/>
                <w:sz w:val="22"/>
                <w:szCs w:val="22"/>
              </w:rPr>
              <w:t xml:space="preserve">. </w:t>
            </w:r>
          </w:p>
          <w:p w14:paraId="2E15C913" w14:textId="77777777" w:rsidR="00F96EBD" w:rsidRDefault="00F96EBD" w:rsidP="0042202B">
            <w:pPr>
              <w:pStyle w:val="Tekstkomentarza"/>
              <w:rPr>
                <w:rFonts w:cstheme="minorHAnsi"/>
                <w:b/>
                <w:sz w:val="22"/>
                <w:szCs w:val="22"/>
              </w:rPr>
            </w:pPr>
          </w:p>
          <w:p w14:paraId="3B7F26F1" w14:textId="47FA10D3" w:rsidR="0059404D" w:rsidRPr="005E4D9A" w:rsidRDefault="00F96EBD" w:rsidP="0042202B">
            <w:pPr>
              <w:pStyle w:val="Tekstkomentarza"/>
              <w:rPr>
                <w:rFonts w:cstheme="minorHAnsi"/>
                <w:b/>
                <w:sz w:val="22"/>
                <w:szCs w:val="22"/>
              </w:rPr>
            </w:pPr>
            <w:r w:rsidRPr="00F96EBD">
              <w:rPr>
                <w:rFonts w:cstheme="minorHAnsi"/>
                <w:b/>
                <w:color w:val="0070C0"/>
              </w:rPr>
              <w:t>Wypracowan</w:t>
            </w:r>
            <w:r w:rsidR="002B1220">
              <w:rPr>
                <w:rFonts w:cstheme="minorHAnsi"/>
                <w:b/>
                <w:color w:val="0070C0"/>
              </w:rPr>
              <w:t>o</w:t>
            </w:r>
            <w:r w:rsidRPr="00F96EBD">
              <w:rPr>
                <w:rFonts w:cstheme="minorHAnsi"/>
                <w:b/>
                <w:color w:val="0070C0"/>
              </w:rPr>
              <w:t xml:space="preserve"> z COI zmiany. </w:t>
            </w:r>
            <w:r w:rsidR="0072272C">
              <w:rPr>
                <w:rFonts w:cstheme="minorHAnsi"/>
                <w:b/>
                <w:sz w:val="22"/>
                <w:szCs w:val="22"/>
              </w:rPr>
              <w:t xml:space="preserve"> </w:t>
            </w:r>
          </w:p>
        </w:tc>
      </w:tr>
      <w:tr w:rsidR="0059404D" w:rsidRPr="00F515D6" w14:paraId="5432CBE9" w14:textId="1805B762" w:rsidTr="00D76FE7">
        <w:tc>
          <w:tcPr>
            <w:tcW w:w="562" w:type="dxa"/>
          </w:tcPr>
          <w:p w14:paraId="6BD52E12" w14:textId="77777777" w:rsidR="0059404D" w:rsidRPr="005C1268" w:rsidRDefault="0059404D" w:rsidP="0042202B">
            <w:pPr>
              <w:rPr>
                <w:rFonts w:cstheme="minorHAnsi"/>
                <w:b/>
              </w:rPr>
            </w:pPr>
            <w:r w:rsidRPr="005C1268">
              <w:rPr>
                <w:rFonts w:cstheme="minorHAnsi"/>
                <w:b/>
              </w:rPr>
              <w:t>54</w:t>
            </w:r>
          </w:p>
        </w:tc>
        <w:tc>
          <w:tcPr>
            <w:tcW w:w="993" w:type="dxa"/>
          </w:tcPr>
          <w:p w14:paraId="6C554F90" w14:textId="77777777" w:rsidR="0059404D" w:rsidRPr="005C1268" w:rsidRDefault="0059404D" w:rsidP="0042202B">
            <w:pPr>
              <w:rPr>
                <w:rFonts w:cstheme="minorHAnsi"/>
                <w:b/>
              </w:rPr>
            </w:pPr>
            <w:r w:rsidRPr="005C1268">
              <w:rPr>
                <w:rFonts w:cstheme="minorHAnsi"/>
                <w:b/>
              </w:rPr>
              <w:t>MC</w:t>
            </w:r>
          </w:p>
        </w:tc>
        <w:tc>
          <w:tcPr>
            <w:tcW w:w="1701" w:type="dxa"/>
          </w:tcPr>
          <w:p w14:paraId="1FDA3E3A" w14:textId="26AF3110" w:rsidR="0059404D" w:rsidRPr="005C1268" w:rsidRDefault="0059404D" w:rsidP="0042202B">
            <w:pPr>
              <w:rPr>
                <w:rFonts w:cstheme="minorHAnsi"/>
                <w:b/>
              </w:rPr>
            </w:pPr>
            <w:r w:rsidRPr="005C1268">
              <w:rPr>
                <w:rFonts w:cstheme="minorHAnsi"/>
                <w:b/>
              </w:rPr>
              <w:t>Art. 68g ust. 3 pkt 1 i 2 UH</w:t>
            </w:r>
          </w:p>
        </w:tc>
        <w:tc>
          <w:tcPr>
            <w:tcW w:w="5953" w:type="dxa"/>
          </w:tcPr>
          <w:p w14:paraId="1291F4BD" w14:textId="77777777" w:rsidR="0059404D" w:rsidRPr="005C1268" w:rsidRDefault="0059404D" w:rsidP="0042202B">
            <w:pPr>
              <w:rPr>
                <w:rFonts w:cstheme="minorHAnsi"/>
                <w:b/>
              </w:rPr>
            </w:pPr>
            <w:r w:rsidRPr="005C1268">
              <w:rPr>
                <w:rFonts w:cstheme="minorHAnsi"/>
                <w:b/>
              </w:rPr>
              <w:t xml:space="preserve">Obecne brzmienie tego ustępu zakłada obligatoryjny wymóg przedkładania wraz z wnioskiem dokumentów określonych w pkt 1 – o ile są dostępne, oraz w pkt 2 - o ile są wymagane zgodnie z warunkami lub wymaganiami technicznymi określonymi w przepisach wydanych na podstawie art. 68r ust. 1. </w:t>
            </w:r>
          </w:p>
          <w:p w14:paraId="0466BCF2" w14:textId="686564B1" w:rsidR="0059404D" w:rsidRPr="005C1268" w:rsidRDefault="0059404D" w:rsidP="0042202B">
            <w:pPr>
              <w:rPr>
                <w:rFonts w:cstheme="minorHAnsi"/>
                <w:b/>
              </w:rPr>
            </w:pPr>
            <w:r w:rsidRPr="005C1268">
              <w:rPr>
                <w:rFonts w:cstheme="minorHAnsi"/>
                <w:b/>
              </w:rPr>
              <w:t>Proponuje się wskazać, że w sytuacji, w której świadectwa zgodności wystawione w formie elektronicznej będą dostępne w centralnej ewidencji pojazdów, właściciel powinien być zwolniony z obowiązku przedkładania ich wraz z wnioskiem o wydanie świadectwa krajowego indywidualnego dopuszczenia pojazdu niebędącego nowym pojazdem. Jednocześnie diagnosta powinien mieć zapewniony dostęp do tych danych.</w:t>
            </w:r>
          </w:p>
        </w:tc>
        <w:tc>
          <w:tcPr>
            <w:tcW w:w="3827" w:type="dxa"/>
          </w:tcPr>
          <w:p w14:paraId="746B51EC" w14:textId="630FB48F" w:rsidR="0059404D" w:rsidRPr="005C1268" w:rsidRDefault="0059404D" w:rsidP="0042202B">
            <w:pPr>
              <w:rPr>
                <w:rFonts w:cstheme="minorHAnsi"/>
                <w:b/>
              </w:rPr>
            </w:pPr>
            <w:r w:rsidRPr="005C1268">
              <w:rPr>
                <w:rFonts w:cstheme="minorHAnsi"/>
                <w:b/>
              </w:rPr>
              <w:t>Uwaga wyjaśniona - w tym przepisie nie chodzi o świadectwa zgodności dla pojazdu, bo przepis dotyczy pojazdów spoza UE bez homologacji całopojazdowej, a jedynie do wniosku należy załączyć dokumenty w zakresie emisji i w tym zakresie może to być świadectwo homologacji albo inne dokumenty wskazujące poziom emisji.</w:t>
            </w:r>
            <w:r>
              <w:rPr>
                <w:rFonts w:cstheme="minorHAnsi"/>
                <w:b/>
              </w:rPr>
              <w:t xml:space="preserve"> Zazwyczaj są to pojazdy bez unijnej dokumentacji homologacyjnej. </w:t>
            </w:r>
            <w:r w:rsidRPr="005C1268">
              <w:rPr>
                <w:rFonts w:cstheme="minorHAnsi"/>
                <w:b/>
              </w:rPr>
              <w:t xml:space="preserve"> </w:t>
            </w:r>
          </w:p>
        </w:tc>
        <w:tc>
          <w:tcPr>
            <w:tcW w:w="3686" w:type="dxa"/>
          </w:tcPr>
          <w:p w14:paraId="2E58D72F" w14:textId="23302B93" w:rsidR="0059404D" w:rsidRPr="005C1268" w:rsidRDefault="0072272C" w:rsidP="0042202B">
            <w:pPr>
              <w:rPr>
                <w:rFonts w:cstheme="minorHAnsi"/>
                <w:b/>
              </w:rPr>
            </w:pPr>
            <w:r>
              <w:rPr>
                <w:rFonts w:cstheme="minorHAnsi"/>
                <w:b/>
              </w:rPr>
              <w:t xml:space="preserve">Akceptacja </w:t>
            </w:r>
          </w:p>
        </w:tc>
      </w:tr>
      <w:tr w:rsidR="0059404D" w:rsidRPr="00F515D6" w14:paraId="05A4FAA1" w14:textId="214402D6" w:rsidTr="00D76FE7">
        <w:tc>
          <w:tcPr>
            <w:tcW w:w="562" w:type="dxa"/>
          </w:tcPr>
          <w:p w14:paraId="3BC5892E" w14:textId="77777777" w:rsidR="0059404D" w:rsidRPr="005C1268" w:rsidRDefault="0059404D" w:rsidP="0042202B">
            <w:pPr>
              <w:rPr>
                <w:rFonts w:cstheme="minorHAnsi"/>
                <w:b/>
              </w:rPr>
            </w:pPr>
            <w:r w:rsidRPr="005C1268">
              <w:rPr>
                <w:rFonts w:cstheme="minorHAnsi"/>
                <w:b/>
              </w:rPr>
              <w:t>55</w:t>
            </w:r>
          </w:p>
        </w:tc>
        <w:tc>
          <w:tcPr>
            <w:tcW w:w="993" w:type="dxa"/>
          </w:tcPr>
          <w:p w14:paraId="242C73E4" w14:textId="77777777" w:rsidR="0059404D" w:rsidRPr="005C1268" w:rsidRDefault="0059404D" w:rsidP="0042202B">
            <w:pPr>
              <w:rPr>
                <w:rFonts w:cstheme="minorHAnsi"/>
                <w:b/>
              </w:rPr>
            </w:pPr>
            <w:r w:rsidRPr="005C1268">
              <w:rPr>
                <w:rFonts w:cstheme="minorHAnsi"/>
                <w:b/>
              </w:rPr>
              <w:t>MC</w:t>
            </w:r>
          </w:p>
        </w:tc>
        <w:tc>
          <w:tcPr>
            <w:tcW w:w="1701" w:type="dxa"/>
          </w:tcPr>
          <w:p w14:paraId="5866C4EC" w14:textId="77777777" w:rsidR="0059404D" w:rsidRPr="005C1268" w:rsidRDefault="0059404D" w:rsidP="0042202B">
            <w:pPr>
              <w:rPr>
                <w:rFonts w:cstheme="minorHAnsi"/>
                <w:b/>
              </w:rPr>
            </w:pPr>
            <w:r w:rsidRPr="005C1268">
              <w:rPr>
                <w:rFonts w:cstheme="minorHAnsi"/>
                <w:b/>
              </w:rPr>
              <w:t>art. 68h ust. 1 pkt 1  UH</w:t>
            </w:r>
          </w:p>
        </w:tc>
        <w:tc>
          <w:tcPr>
            <w:tcW w:w="5953" w:type="dxa"/>
          </w:tcPr>
          <w:p w14:paraId="799D7C6E" w14:textId="77777777" w:rsidR="0059404D" w:rsidRPr="005C1268" w:rsidRDefault="0059404D" w:rsidP="0042202B">
            <w:pPr>
              <w:rPr>
                <w:rFonts w:cstheme="minorHAnsi"/>
                <w:b/>
              </w:rPr>
            </w:pPr>
            <w:r w:rsidRPr="005C1268">
              <w:rPr>
                <w:rFonts w:cstheme="minorHAnsi"/>
                <w:b/>
              </w:rPr>
              <w:t>W przepisie projekt stanowi, że spełnienie warunków lub wymagań technicznych, o których mowa w art. 68g ust. 2, uprawniony diagnosta potwierdza poprzez (…) sprawdzenie kompletności dokumentów przedłożonych do wniosku, o których mowa w art. 68g ust. 3, oraz ich weryfikację. Jednocześnie przepis nie precyzuje co owa „weryfikacja” obejmuje czy też pod jakim kątem jest dokonywana. W celu uniknięcia wątpliwości interpretacyjnych proponuje się rozważyć doprecyzowanie omawianej regulacji np. poprzez wskazanie: „oraz ich weryfikację pod względem autentyczności” – o ile takie było założenie projektodawcy. Powyższe jest uzasadnione również konstrukcją dalszych przepisów projektu, gdzie np. w art. 68j ust. 2 projektodawca precyzyjnie określa zakres weryfikacji dokonywanej przez Dyrektora TDT w ramach wykonywanego nadzoru.</w:t>
            </w:r>
          </w:p>
          <w:p w14:paraId="29BB7AFA" w14:textId="77777777" w:rsidR="0059404D" w:rsidRPr="005C1268" w:rsidRDefault="0059404D" w:rsidP="0042202B">
            <w:pPr>
              <w:rPr>
                <w:rFonts w:cstheme="minorHAnsi"/>
                <w:b/>
                <w:i/>
              </w:rPr>
            </w:pPr>
            <w:r w:rsidRPr="005C1268">
              <w:rPr>
                <w:rFonts w:cstheme="minorHAnsi"/>
                <w:b/>
                <w:i/>
              </w:rPr>
              <w:t xml:space="preserve">„Art. 68h. 1. Spełnienie warunków lub wymagań technicznych, o których mowa w art. 68g ust. 2, uprawniony diagnosta potwierdza poprzez wykonanie odpowiednio w stacji kontroli pojazdów, o której mowa w art. 83 ust. 1 pkt 1 lub 2 ustawy z dnia 20 czerwca 1997 r. – Prawo o ruchu drogowym, następujących czynności: </w:t>
            </w:r>
          </w:p>
          <w:p w14:paraId="18699BC5" w14:textId="5926B37A" w:rsidR="0059404D" w:rsidRPr="005C1268" w:rsidRDefault="0059404D" w:rsidP="0042202B">
            <w:pPr>
              <w:rPr>
                <w:rFonts w:cstheme="minorHAnsi"/>
                <w:b/>
                <w:i/>
              </w:rPr>
            </w:pPr>
            <w:r w:rsidRPr="005C1268">
              <w:rPr>
                <w:rFonts w:cstheme="minorHAnsi"/>
                <w:b/>
                <w:i/>
              </w:rPr>
              <w:t>1) sprawdzenie kompletności dokumentów przedłożonych do wniosku, o których mowa w art. 68g ust. 3, oraz ich weryfikację pod względem autentyczności;”.</w:t>
            </w:r>
          </w:p>
        </w:tc>
        <w:tc>
          <w:tcPr>
            <w:tcW w:w="3827" w:type="dxa"/>
          </w:tcPr>
          <w:p w14:paraId="598A702C" w14:textId="0DB1955E" w:rsidR="0059404D" w:rsidRPr="005C1268" w:rsidRDefault="0059404D" w:rsidP="0042202B">
            <w:pPr>
              <w:pStyle w:val="ZPKTzmpktartykuempunktem"/>
              <w:spacing w:line="240" w:lineRule="auto"/>
              <w:ind w:left="0" w:firstLine="0"/>
              <w:jc w:val="left"/>
              <w:rPr>
                <w:rFonts w:asciiTheme="minorHAnsi" w:eastAsiaTheme="minorHAnsi" w:hAnsiTheme="minorHAnsi" w:cstheme="minorHAnsi"/>
                <w:b/>
                <w:bCs w:val="0"/>
                <w:sz w:val="22"/>
                <w:szCs w:val="22"/>
                <w:lang w:eastAsia="en-US"/>
              </w:rPr>
            </w:pPr>
            <w:r w:rsidRPr="005C1268">
              <w:rPr>
                <w:rFonts w:asciiTheme="minorHAnsi" w:eastAsiaTheme="minorHAnsi" w:hAnsiTheme="minorHAnsi" w:cstheme="minorHAnsi"/>
                <w:b/>
                <w:bCs w:val="0"/>
                <w:sz w:val="22"/>
                <w:szCs w:val="22"/>
                <w:lang w:eastAsia="en-US"/>
              </w:rPr>
              <w:t>Uwaga uwzględniona – doprecyzowano przepis:</w:t>
            </w:r>
          </w:p>
          <w:p w14:paraId="21016A95" w14:textId="512302D0" w:rsidR="0059404D" w:rsidRPr="005C1268" w:rsidRDefault="0059404D" w:rsidP="0042202B">
            <w:pPr>
              <w:pStyle w:val="ZPKTzmpktartykuempunktem"/>
              <w:spacing w:line="240" w:lineRule="auto"/>
              <w:ind w:left="36" w:firstLine="0"/>
              <w:jc w:val="left"/>
              <w:rPr>
                <w:rFonts w:asciiTheme="minorHAnsi" w:eastAsiaTheme="minorHAnsi" w:hAnsiTheme="minorHAnsi" w:cstheme="minorHAnsi"/>
                <w:b/>
                <w:bCs w:val="0"/>
                <w:i/>
                <w:sz w:val="22"/>
                <w:szCs w:val="22"/>
                <w:lang w:eastAsia="en-US"/>
              </w:rPr>
            </w:pPr>
            <w:r>
              <w:rPr>
                <w:rFonts w:asciiTheme="minorHAnsi" w:eastAsiaTheme="minorHAnsi" w:hAnsiTheme="minorHAnsi" w:cstheme="minorHAnsi"/>
                <w:b/>
                <w:bCs w:val="0"/>
                <w:i/>
                <w:sz w:val="22"/>
                <w:szCs w:val="22"/>
                <w:lang w:eastAsia="en-US"/>
              </w:rPr>
              <w:t>„</w:t>
            </w:r>
            <w:r w:rsidRPr="005C1268">
              <w:rPr>
                <w:rFonts w:asciiTheme="minorHAnsi" w:eastAsiaTheme="minorHAnsi" w:hAnsiTheme="minorHAnsi" w:cstheme="minorHAnsi"/>
                <w:b/>
                <w:bCs w:val="0"/>
                <w:i/>
                <w:sz w:val="22"/>
                <w:szCs w:val="22"/>
                <w:lang w:eastAsia="en-US"/>
              </w:rPr>
              <w:t>sprawdzenie kompletności dokumentów przedłożonych do wniosku, o których mowa w art. 68g ust. 3, oraz ich weryfikację celem potwierdzenia spełnienia warunków lub wymagań technicznych określonych w przepisach wydanych na podstawie art. 68r ust. 1;</w:t>
            </w:r>
            <w:r>
              <w:rPr>
                <w:rFonts w:asciiTheme="minorHAnsi" w:eastAsiaTheme="minorHAnsi" w:hAnsiTheme="minorHAnsi" w:cstheme="minorHAnsi"/>
                <w:b/>
                <w:bCs w:val="0"/>
                <w:i/>
                <w:sz w:val="22"/>
                <w:szCs w:val="22"/>
                <w:lang w:eastAsia="en-US"/>
              </w:rPr>
              <w:t>”</w:t>
            </w:r>
          </w:p>
          <w:p w14:paraId="26898AF7" w14:textId="038F06B8" w:rsidR="0059404D" w:rsidRPr="005C1268" w:rsidRDefault="0059404D" w:rsidP="0042202B">
            <w:pPr>
              <w:rPr>
                <w:rFonts w:cstheme="minorHAnsi"/>
                <w:b/>
              </w:rPr>
            </w:pPr>
          </w:p>
        </w:tc>
        <w:tc>
          <w:tcPr>
            <w:tcW w:w="3686" w:type="dxa"/>
          </w:tcPr>
          <w:p w14:paraId="492DA0A3" w14:textId="667606E2" w:rsidR="0059404D" w:rsidRPr="005C1268" w:rsidRDefault="0072272C" w:rsidP="0042202B">
            <w:pPr>
              <w:pStyle w:val="ZPKTzmpktartykuempunktem"/>
              <w:spacing w:line="240" w:lineRule="auto"/>
              <w:ind w:left="0" w:firstLine="0"/>
              <w:jc w:val="left"/>
              <w:rPr>
                <w:rFonts w:asciiTheme="minorHAnsi" w:eastAsiaTheme="minorHAnsi" w:hAnsiTheme="minorHAnsi" w:cstheme="minorHAnsi"/>
                <w:b/>
                <w:bCs w:val="0"/>
                <w:sz w:val="22"/>
                <w:szCs w:val="22"/>
                <w:lang w:eastAsia="en-US"/>
              </w:rPr>
            </w:pPr>
            <w:r>
              <w:rPr>
                <w:rFonts w:asciiTheme="minorHAnsi" w:eastAsiaTheme="minorHAnsi" w:hAnsiTheme="minorHAnsi" w:cstheme="minorHAnsi"/>
                <w:b/>
                <w:bCs w:val="0"/>
                <w:sz w:val="22"/>
                <w:szCs w:val="22"/>
                <w:lang w:eastAsia="en-US"/>
              </w:rPr>
              <w:t xml:space="preserve">Akceptacja </w:t>
            </w:r>
          </w:p>
        </w:tc>
      </w:tr>
      <w:tr w:rsidR="0059404D" w:rsidRPr="00F515D6" w14:paraId="2C19F32E" w14:textId="76785F55" w:rsidTr="00D76FE7">
        <w:tc>
          <w:tcPr>
            <w:tcW w:w="562" w:type="dxa"/>
          </w:tcPr>
          <w:p w14:paraId="252F9E40" w14:textId="77777777" w:rsidR="0059404D" w:rsidRPr="005C1268" w:rsidRDefault="0059404D" w:rsidP="0042202B">
            <w:pPr>
              <w:rPr>
                <w:rFonts w:cstheme="minorHAnsi"/>
                <w:b/>
              </w:rPr>
            </w:pPr>
            <w:r w:rsidRPr="005C1268">
              <w:rPr>
                <w:rFonts w:cstheme="minorHAnsi"/>
                <w:b/>
              </w:rPr>
              <w:t>56</w:t>
            </w:r>
          </w:p>
        </w:tc>
        <w:tc>
          <w:tcPr>
            <w:tcW w:w="993" w:type="dxa"/>
          </w:tcPr>
          <w:p w14:paraId="2ED6B3B9" w14:textId="77777777" w:rsidR="0059404D" w:rsidRPr="005C1268" w:rsidRDefault="0059404D" w:rsidP="0042202B">
            <w:pPr>
              <w:rPr>
                <w:rFonts w:cstheme="minorHAnsi"/>
                <w:b/>
              </w:rPr>
            </w:pPr>
            <w:r w:rsidRPr="005C1268">
              <w:rPr>
                <w:rFonts w:cstheme="minorHAnsi"/>
                <w:b/>
              </w:rPr>
              <w:t>MC</w:t>
            </w:r>
          </w:p>
        </w:tc>
        <w:tc>
          <w:tcPr>
            <w:tcW w:w="1701" w:type="dxa"/>
          </w:tcPr>
          <w:p w14:paraId="7DB99C11" w14:textId="77777777" w:rsidR="0059404D" w:rsidRPr="005C1268" w:rsidRDefault="0059404D" w:rsidP="0042202B">
            <w:pPr>
              <w:rPr>
                <w:rFonts w:cstheme="minorHAnsi"/>
                <w:b/>
              </w:rPr>
            </w:pPr>
            <w:r w:rsidRPr="005C1268">
              <w:rPr>
                <w:rFonts w:cstheme="minorHAnsi"/>
                <w:b/>
              </w:rPr>
              <w:t>Art. 68i ust. 3  UH</w:t>
            </w:r>
          </w:p>
        </w:tc>
        <w:tc>
          <w:tcPr>
            <w:tcW w:w="5953" w:type="dxa"/>
          </w:tcPr>
          <w:p w14:paraId="54A52C8A" w14:textId="3CC023FD" w:rsidR="0059404D" w:rsidRPr="005C1268" w:rsidRDefault="0059404D" w:rsidP="0042202B">
            <w:pPr>
              <w:rPr>
                <w:rFonts w:cstheme="minorHAnsi"/>
                <w:b/>
              </w:rPr>
            </w:pPr>
            <w:r w:rsidRPr="005C1268">
              <w:rPr>
                <w:rFonts w:cstheme="minorHAnsi"/>
                <w:b/>
              </w:rPr>
              <w:t>Przepis art. 68i ust. 3 powiela rozwiązania prawne już przewidziane w art. 68g ust. 1, który wprost stanowi, że uprawniony diagnosta wydaje – na wniosek właściciela pojazdu złożony w formie pisemnej, w postaci papierowej lub elektronicznej – świadectwo krajowego indywidualnego dopuszczenia pojazdu niebędącego nowym pojazdem lub, w przypadku niespełnienia wymagań technicznych, zaświadczenie o braku spełnienia tych wymagań. Powtórzenie tej regulacji w art. 68i ust. 3 jest zbędne z punktu widzenia techniki legislacyjnej i może powodować wątpliwości interpretacyjne co do relacji pomiędzy oboma przepisami. Proponuje się rozważyć rezygnację z tego przepisu albo jego doprecyzowanie, tak aby nie dublował treści art. 68g ust. 1.</w:t>
            </w:r>
          </w:p>
        </w:tc>
        <w:tc>
          <w:tcPr>
            <w:tcW w:w="3827" w:type="dxa"/>
          </w:tcPr>
          <w:p w14:paraId="5FAA876B" w14:textId="5E1E3C55" w:rsidR="0059404D" w:rsidRPr="005C1268" w:rsidRDefault="0059404D" w:rsidP="0042202B">
            <w:pPr>
              <w:rPr>
                <w:rFonts w:cstheme="minorHAnsi"/>
                <w:b/>
              </w:rPr>
            </w:pPr>
            <w:r w:rsidRPr="005C1268">
              <w:rPr>
                <w:rFonts w:cstheme="minorHAnsi"/>
                <w:b/>
              </w:rPr>
              <w:t>Uwaga uwzględniona</w:t>
            </w:r>
            <w:r>
              <w:rPr>
                <w:rFonts w:cstheme="minorHAnsi"/>
                <w:b/>
              </w:rPr>
              <w:t xml:space="preserve"> – dokonano przebudowy przepisów w zakresie procedury dopuszczenia w stacji kontroli pojazdów</w:t>
            </w:r>
            <w:r w:rsidRPr="005C1268">
              <w:rPr>
                <w:rFonts w:cstheme="minorHAnsi"/>
                <w:b/>
              </w:rPr>
              <w:t xml:space="preserve">.  </w:t>
            </w:r>
          </w:p>
        </w:tc>
        <w:tc>
          <w:tcPr>
            <w:tcW w:w="3686" w:type="dxa"/>
          </w:tcPr>
          <w:p w14:paraId="02EE4315" w14:textId="1D6E812F" w:rsidR="0059404D" w:rsidRPr="005C1268" w:rsidRDefault="0072272C" w:rsidP="0042202B">
            <w:pPr>
              <w:rPr>
                <w:rFonts w:cstheme="minorHAnsi"/>
                <w:b/>
              </w:rPr>
            </w:pPr>
            <w:r>
              <w:rPr>
                <w:rFonts w:cstheme="minorHAnsi"/>
                <w:b/>
              </w:rPr>
              <w:t xml:space="preserve">Akceptacja </w:t>
            </w:r>
          </w:p>
        </w:tc>
      </w:tr>
      <w:tr w:rsidR="0059404D" w:rsidRPr="00F515D6" w14:paraId="20D6F498" w14:textId="09903235" w:rsidTr="00D76FE7">
        <w:tc>
          <w:tcPr>
            <w:tcW w:w="562" w:type="dxa"/>
          </w:tcPr>
          <w:p w14:paraId="7A930758" w14:textId="77777777" w:rsidR="0059404D" w:rsidRPr="00C353A2" w:rsidRDefault="0059404D" w:rsidP="0042202B">
            <w:pPr>
              <w:rPr>
                <w:rFonts w:cstheme="minorHAnsi"/>
                <w:b/>
              </w:rPr>
            </w:pPr>
            <w:r w:rsidRPr="00C353A2">
              <w:rPr>
                <w:rFonts w:cstheme="minorHAnsi"/>
                <w:b/>
              </w:rPr>
              <w:t>57</w:t>
            </w:r>
          </w:p>
        </w:tc>
        <w:tc>
          <w:tcPr>
            <w:tcW w:w="993" w:type="dxa"/>
          </w:tcPr>
          <w:p w14:paraId="758DC0CA" w14:textId="77777777" w:rsidR="0059404D" w:rsidRPr="00C353A2" w:rsidRDefault="0059404D" w:rsidP="0042202B">
            <w:pPr>
              <w:rPr>
                <w:rFonts w:cstheme="minorHAnsi"/>
                <w:b/>
              </w:rPr>
            </w:pPr>
            <w:r w:rsidRPr="00C353A2">
              <w:rPr>
                <w:rFonts w:cstheme="minorHAnsi"/>
                <w:b/>
              </w:rPr>
              <w:t>MC</w:t>
            </w:r>
          </w:p>
        </w:tc>
        <w:tc>
          <w:tcPr>
            <w:tcW w:w="1701" w:type="dxa"/>
          </w:tcPr>
          <w:p w14:paraId="5A29EF1B" w14:textId="77777777" w:rsidR="0059404D" w:rsidRPr="00C353A2" w:rsidRDefault="0059404D" w:rsidP="0042202B">
            <w:pPr>
              <w:rPr>
                <w:rFonts w:cstheme="minorHAnsi"/>
                <w:b/>
              </w:rPr>
            </w:pPr>
            <w:r w:rsidRPr="00C353A2">
              <w:rPr>
                <w:rFonts w:cstheme="minorHAnsi"/>
                <w:b/>
              </w:rPr>
              <w:t>Art. 68i ust. 4  UH</w:t>
            </w:r>
          </w:p>
        </w:tc>
        <w:tc>
          <w:tcPr>
            <w:tcW w:w="5953" w:type="dxa"/>
          </w:tcPr>
          <w:p w14:paraId="15C6C40A" w14:textId="509C4F70" w:rsidR="0059404D" w:rsidRPr="00C353A2" w:rsidRDefault="0059404D" w:rsidP="0042202B">
            <w:pPr>
              <w:rPr>
                <w:rFonts w:cstheme="minorHAnsi"/>
                <w:b/>
              </w:rPr>
            </w:pPr>
            <w:r w:rsidRPr="00C353A2">
              <w:rPr>
                <w:rFonts w:cstheme="minorHAnsi"/>
                <w:b/>
              </w:rPr>
              <w:t>Art. 68i ust. 4 projektu zakłada, że diagnosta w terminie 7 dni przekaże do ewidencji informację o wydanych świadectwach krajowego indywidualnego dopuszczenia pojazdu niebędącego nowym pojazdem wraz z dokumentem identyfikacyjnym pojazdu oraz o zaświadczeniach o braku spełnienia wymagań do wydania świadectwa krajowego indywidualnego dopuszczenia pojazdu niebędącego nowym pojazdem. Z uwagi na fakt, że świadectwo krajowego indywidualnego dopuszczenia pojazdu niebędącego nowym pojazdem będzie dokumentem niezbędnym w procesie rejestracji pojazdu, zaś co do zasady organ rejestrujący w tym zakresie będzie dokonywał rejestracji na podstawie danych przekazanych do ewidencji, wprowadzenie ww. informacji powinno następować zgodnie z art. 80ba ust. 3 ustawy – Prawo o ruchu drogowym, tj. w momencie wykonania czynności skutkującej koniecznością przekazania danych do ewidencji – czyli analogicznie jak w przypadku wprowadzania danych o badaniu technicznym lub odczycie drogomierza pojazdu. Wprowadzanie odstępstw od standardowych zasad przekazywania danych do ewidencji i wydłużanie terminów może prowadzić do braku pewności co do aktualności tych danych, a przede wszystkim wydłuży proces rejestracji pojazdu. Ponadto użyte w ust. 4 sformułowanie „w postaci papierowej lub elektronicznej” może powodować wątpliwości – nie wynika z niego jednoznacznie czy odnosi się ono do sposobu przekazywania informacji do ewidencji czy też do formy wydawanych świadectw i zaświadczeń – żadne wcześniejsze przepisy projektu nie określają formy wydawania przedmiotowych świadectw i zaświadczeń. Jednocześnie wprowadzenie możliwości przekazywania ww. informacji do ewidencji w postaci papierowej jest niezgodne z art. 80ba ust. 3 ustawy - Prawo o ruchu drogowym, zgodnie z którym podmioty wymienione w ust. 1, w tym również stacje kontroli pojazdów, wprowadzają dane do ewidencji za pomocą systemów teleinformatycznych obsługujących zadania realizowane przez te podmioty.</w:t>
            </w:r>
          </w:p>
        </w:tc>
        <w:tc>
          <w:tcPr>
            <w:tcW w:w="3827" w:type="dxa"/>
          </w:tcPr>
          <w:p w14:paraId="5E274323" w14:textId="1E2A5C7B" w:rsidR="0059404D" w:rsidRDefault="0059404D"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r w:rsidRPr="00C353A2">
              <w:rPr>
                <w:rFonts w:asciiTheme="minorHAnsi" w:eastAsiaTheme="minorHAnsi" w:hAnsiTheme="minorHAnsi" w:cstheme="minorHAnsi"/>
                <w:b/>
                <w:sz w:val="22"/>
                <w:szCs w:val="22"/>
                <w:lang w:eastAsia="en-US"/>
              </w:rPr>
              <w:t xml:space="preserve">Uwaga uwzględniona </w:t>
            </w:r>
            <w:r>
              <w:rPr>
                <w:rFonts w:asciiTheme="minorHAnsi" w:eastAsiaTheme="minorHAnsi" w:hAnsiTheme="minorHAnsi" w:cstheme="minorHAnsi"/>
                <w:b/>
                <w:sz w:val="22"/>
                <w:szCs w:val="22"/>
                <w:lang w:eastAsia="en-US"/>
              </w:rPr>
              <w:t>– doprecyzowano przepis, iż u</w:t>
            </w:r>
            <w:r w:rsidRPr="00C353A2">
              <w:rPr>
                <w:rFonts w:asciiTheme="minorHAnsi" w:eastAsiaTheme="minorHAnsi" w:hAnsiTheme="minorHAnsi" w:cstheme="minorHAnsi"/>
                <w:b/>
                <w:sz w:val="22"/>
                <w:szCs w:val="22"/>
                <w:lang w:eastAsia="en-US"/>
              </w:rPr>
              <w:t xml:space="preserve">prawniony diagnosta </w:t>
            </w:r>
            <w:r>
              <w:rPr>
                <w:rFonts w:asciiTheme="minorHAnsi" w:eastAsiaTheme="minorHAnsi" w:hAnsiTheme="minorHAnsi" w:cstheme="minorHAnsi"/>
                <w:b/>
                <w:sz w:val="22"/>
                <w:szCs w:val="22"/>
                <w:lang w:eastAsia="en-US"/>
              </w:rPr>
              <w:t xml:space="preserve">będzie </w:t>
            </w:r>
            <w:r w:rsidRPr="00C353A2">
              <w:rPr>
                <w:rFonts w:asciiTheme="minorHAnsi" w:eastAsiaTheme="minorHAnsi" w:hAnsiTheme="minorHAnsi" w:cstheme="minorHAnsi"/>
                <w:b/>
                <w:sz w:val="22"/>
                <w:szCs w:val="22"/>
                <w:lang w:eastAsia="en-US"/>
              </w:rPr>
              <w:t>przekaz</w:t>
            </w:r>
            <w:r>
              <w:rPr>
                <w:rFonts w:asciiTheme="minorHAnsi" w:eastAsiaTheme="minorHAnsi" w:hAnsiTheme="minorHAnsi" w:cstheme="minorHAnsi"/>
                <w:b/>
                <w:sz w:val="22"/>
                <w:szCs w:val="22"/>
                <w:lang w:eastAsia="en-US"/>
              </w:rPr>
              <w:t>ywał</w:t>
            </w:r>
            <w:r w:rsidRPr="00C353A2">
              <w:rPr>
                <w:rFonts w:asciiTheme="minorHAnsi" w:eastAsiaTheme="minorHAnsi" w:hAnsiTheme="minorHAnsi" w:cstheme="minorHAnsi"/>
                <w:b/>
                <w:sz w:val="22"/>
                <w:szCs w:val="22"/>
                <w:lang w:eastAsia="en-US"/>
              </w:rPr>
              <w:t xml:space="preserve"> </w:t>
            </w:r>
            <w:r>
              <w:rPr>
                <w:rFonts w:asciiTheme="minorHAnsi" w:eastAsiaTheme="minorHAnsi" w:hAnsiTheme="minorHAnsi" w:cstheme="minorHAnsi"/>
                <w:b/>
                <w:sz w:val="22"/>
                <w:szCs w:val="22"/>
                <w:lang w:eastAsia="en-US"/>
              </w:rPr>
              <w:t>informacje o wydanych dokumentach</w:t>
            </w:r>
            <w:r w:rsidRPr="00C353A2">
              <w:rPr>
                <w:rFonts w:asciiTheme="minorHAnsi" w:eastAsiaTheme="minorHAnsi" w:hAnsiTheme="minorHAnsi" w:cstheme="minorHAnsi"/>
                <w:b/>
                <w:sz w:val="22"/>
                <w:szCs w:val="22"/>
                <w:lang w:eastAsia="en-US"/>
              </w:rPr>
              <w:t xml:space="preserve"> niezwłocznie po </w:t>
            </w:r>
            <w:r>
              <w:rPr>
                <w:rFonts w:asciiTheme="minorHAnsi" w:eastAsiaTheme="minorHAnsi" w:hAnsiTheme="minorHAnsi" w:cstheme="minorHAnsi"/>
                <w:b/>
                <w:sz w:val="22"/>
                <w:szCs w:val="22"/>
                <w:lang w:eastAsia="en-US"/>
              </w:rPr>
              <w:t xml:space="preserve">ich </w:t>
            </w:r>
            <w:r w:rsidRPr="00C353A2">
              <w:rPr>
                <w:rFonts w:asciiTheme="minorHAnsi" w:eastAsiaTheme="minorHAnsi" w:hAnsiTheme="minorHAnsi" w:cstheme="minorHAnsi"/>
                <w:b/>
                <w:sz w:val="22"/>
                <w:szCs w:val="22"/>
                <w:lang w:eastAsia="en-US"/>
              </w:rPr>
              <w:t>wydaniu</w:t>
            </w:r>
            <w:r>
              <w:rPr>
                <w:rFonts w:asciiTheme="minorHAnsi" w:eastAsiaTheme="minorHAnsi" w:hAnsiTheme="minorHAnsi" w:cstheme="minorHAnsi"/>
                <w:b/>
                <w:sz w:val="22"/>
                <w:szCs w:val="22"/>
                <w:lang w:eastAsia="en-US"/>
              </w:rPr>
              <w:t xml:space="preserve">. </w:t>
            </w:r>
          </w:p>
          <w:p w14:paraId="5A2AA1A4" w14:textId="3087EAF1" w:rsidR="0059404D" w:rsidRDefault="0059404D" w:rsidP="0042202B">
            <w:pPr>
              <w:pStyle w:val="ZUSTzmustartykuempunktem"/>
              <w:spacing w:line="240" w:lineRule="auto"/>
              <w:ind w:left="0" w:firstLine="0"/>
              <w:jc w:val="left"/>
              <w:rPr>
                <w:rFonts w:cstheme="minorHAnsi"/>
                <w:b/>
              </w:rPr>
            </w:pPr>
          </w:p>
          <w:p w14:paraId="493F991C" w14:textId="0084D3BE" w:rsidR="0059404D" w:rsidRPr="005B4747" w:rsidRDefault="0059404D" w:rsidP="0042202B">
            <w:pPr>
              <w:pStyle w:val="ZUSTzmustartykuempunktem"/>
              <w:spacing w:line="240" w:lineRule="auto"/>
              <w:ind w:left="0" w:firstLine="0"/>
              <w:contextualSpacing/>
              <w:jc w:val="left"/>
              <w:rPr>
                <w:rFonts w:asciiTheme="minorHAnsi" w:eastAsiaTheme="minorHAnsi" w:hAnsiTheme="minorHAnsi" w:cstheme="minorHAnsi"/>
                <w:b/>
                <w:i/>
                <w:sz w:val="22"/>
                <w:szCs w:val="22"/>
                <w:lang w:eastAsia="en-US"/>
              </w:rPr>
            </w:pPr>
            <w:r w:rsidRPr="005B4747">
              <w:rPr>
                <w:rFonts w:asciiTheme="minorHAnsi" w:eastAsiaTheme="minorHAnsi" w:hAnsiTheme="minorHAnsi" w:cstheme="minorHAnsi"/>
                <w:b/>
                <w:i/>
                <w:sz w:val="22"/>
                <w:szCs w:val="22"/>
                <w:lang w:eastAsia="en-US"/>
              </w:rPr>
              <w:t>„</w:t>
            </w:r>
            <w:r>
              <w:rPr>
                <w:rFonts w:asciiTheme="minorHAnsi" w:eastAsiaTheme="minorHAnsi" w:hAnsiTheme="minorHAnsi" w:cstheme="minorHAnsi"/>
                <w:b/>
                <w:i/>
                <w:sz w:val="22"/>
                <w:szCs w:val="22"/>
                <w:lang w:eastAsia="en-US"/>
              </w:rPr>
              <w:t xml:space="preserve">Art. 68l. </w:t>
            </w:r>
            <w:r w:rsidRPr="005B4747">
              <w:rPr>
                <w:rFonts w:asciiTheme="minorHAnsi" w:eastAsiaTheme="minorHAnsi" w:hAnsiTheme="minorHAnsi" w:cstheme="minorHAnsi"/>
                <w:b/>
                <w:i/>
                <w:sz w:val="22"/>
                <w:szCs w:val="22"/>
                <w:lang w:eastAsia="en-US"/>
              </w:rPr>
              <w:t xml:space="preserve">9. Uprawniony diagnosta przekazuje w postaci elektronicznej do ewidencji informacje o wydaniu świadectwa krajowego indywidualnego dopuszczenia pojazdu niebędącego nowym pojazdem pojazdu albo zaświadczeniu o braku spełnienia wymagań do wydania świadectwa krajowego indywidualnego dopuszczenia pojazdu niebędącego nowym pojazdem, niezwłocznie po wydaniu takiego dokumentu.” </w:t>
            </w:r>
          </w:p>
          <w:p w14:paraId="055B7653" w14:textId="0BC2B11B" w:rsidR="0059404D" w:rsidRPr="00C353A2" w:rsidRDefault="0059404D" w:rsidP="0042202B">
            <w:pPr>
              <w:rPr>
                <w:rFonts w:cstheme="minorHAnsi"/>
                <w:b/>
              </w:rPr>
            </w:pPr>
          </w:p>
        </w:tc>
        <w:tc>
          <w:tcPr>
            <w:tcW w:w="3686" w:type="dxa"/>
          </w:tcPr>
          <w:p w14:paraId="7DBB29AD" w14:textId="3DFF757E" w:rsidR="0072272C" w:rsidRDefault="0072272C"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 xml:space="preserve">Akceptacja </w:t>
            </w:r>
            <w:r w:rsidR="000B75B6">
              <w:rPr>
                <w:rFonts w:asciiTheme="minorHAnsi" w:eastAsiaTheme="minorHAnsi" w:hAnsiTheme="minorHAnsi" w:cstheme="minorHAnsi"/>
                <w:b/>
                <w:sz w:val="22"/>
                <w:szCs w:val="22"/>
                <w:lang w:eastAsia="en-US"/>
              </w:rPr>
              <w:t xml:space="preserve"> - w tym 12 mcy na wejście w życie </w:t>
            </w:r>
            <w:r w:rsidR="001A5889">
              <w:rPr>
                <w:rFonts w:asciiTheme="minorHAnsi" w:eastAsiaTheme="minorHAnsi" w:hAnsiTheme="minorHAnsi" w:cstheme="minorHAnsi"/>
                <w:b/>
                <w:sz w:val="22"/>
                <w:szCs w:val="22"/>
                <w:lang w:eastAsia="en-US"/>
              </w:rPr>
              <w:t xml:space="preserve">- </w:t>
            </w:r>
            <w:r w:rsidR="000B75B6">
              <w:rPr>
                <w:rFonts w:asciiTheme="minorHAnsi" w:eastAsiaTheme="minorHAnsi" w:hAnsiTheme="minorHAnsi" w:cstheme="minorHAnsi"/>
                <w:b/>
                <w:sz w:val="22"/>
                <w:szCs w:val="22"/>
                <w:lang w:eastAsia="en-US"/>
              </w:rPr>
              <w:t xml:space="preserve">do ustalenia na spotkaniu roboczym z MC czy </w:t>
            </w:r>
            <w:r>
              <w:rPr>
                <w:rFonts w:asciiTheme="minorHAnsi" w:eastAsiaTheme="minorHAnsi" w:hAnsiTheme="minorHAnsi" w:cstheme="minorHAnsi"/>
                <w:b/>
                <w:sz w:val="22"/>
                <w:szCs w:val="22"/>
                <w:lang w:eastAsia="en-US"/>
              </w:rPr>
              <w:t xml:space="preserve">będą koszty </w:t>
            </w:r>
            <w:r w:rsidR="000B75B6">
              <w:rPr>
                <w:rFonts w:asciiTheme="minorHAnsi" w:eastAsiaTheme="minorHAnsi" w:hAnsiTheme="minorHAnsi" w:cstheme="minorHAnsi"/>
                <w:b/>
                <w:sz w:val="22"/>
                <w:szCs w:val="22"/>
                <w:lang w:eastAsia="en-US"/>
              </w:rPr>
              <w:t xml:space="preserve"> po stronie MC związane z gromadzeniem danych – pod kątem uzupełnienia w OSR. </w:t>
            </w:r>
          </w:p>
          <w:p w14:paraId="388571E8" w14:textId="77777777" w:rsidR="00F96EBD" w:rsidRDefault="00F96EBD"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p>
          <w:p w14:paraId="3EBD1030" w14:textId="77777777" w:rsidR="00F96EBD" w:rsidRDefault="00F96EBD"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p>
          <w:p w14:paraId="7BE2C9DC" w14:textId="67162E9F" w:rsidR="00F96EBD" w:rsidRPr="00C353A2" w:rsidRDefault="00F96EBD"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r w:rsidRPr="00F96EBD">
              <w:rPr>
                <w:rFonts w:asciiTheme="minorHAnsi" w:eastAsiaTheme="minorHAnsi" w:hAnsiTheme="minorHAnsi" w:cstheme="minorHAnsi"/>
                <w:b/>
                <w:color w:val="0070C0"/>
                <w:sz w:val="22"/>
                <w:szCs w:val="22"/>
                <w:lang w:eastAsia="en-US"/>
              </w:rPr>
              <w:t>Wypracowan</w:t>
            </w:r>
            <w:r w:rsidR="002B1220">
              <w:rPr>
                <w:rFonts w:asciiTheme="minorHAnsi" w:eastAsiaTheme="minorHAnsi" w:hAnsiTheme="minorHAnsi" w:cstheme="minorHAnsi"/>
                <w:b/>
                <w:color w:val="0070C0"/>
                <w:sz w:val="22"/>
                <w:szCs w:val="22"/>
                <w:lang w:eastAsia="en-US"/>
              </w:rPr>
              <w:t>o</w:t>
            </w:r>
            <w:r w:rsidRPr="00F96EBD">
              <w:rPr>
                <w:rFonts w:asciiTheme="minorHAnsi" w:eastAsiaTheme="minorHAnsi" w:hAnsiTheme="minorHAnsi" w:cstheme="minorHAnsi"/>
                <w:b/>
                <w:color w:val="0070C0"/>
                <w:sz w:val="22"/>
                <w:szCs w:val="22"/>
                <w:lang w:eastAsia="en-US"/>
              </w:rPr>
              <w:t xml:space="preserve"> z COI zmiany, w tym uzupełnion</w:t>
            </w:r>
            <w:r w:rsidR="002B1220">
              <w:rPr>
                <w:rFonts w:asciiTheme="minorHAnsi" w:eastAsiaTheme="minorHAnsi" w:hAnsiTheme="minorHAnsi" w:cstheme="minorHAnsi"/>
                <w:b/>
                <w:color w:val="0070C0"/>
                <w:sz w:val="22"/>
                <w:szCs w:val="22"/>
                <w:lang w:eastAsia="en-US"/>
              </w:rPr>
              <w:t>o</w:t>
            </w:r>
            <w:r w:rsidRPr="00F96EBD">
              <w:rPr>
                <w:rFonts w:asciiTheme="minorHAnsi" w:eastAsiaTheme="minorHAnsi" w:hAnsiTheme="minorHAnsi" w:cstheme="minorHAnsi"/>
                <w:b/>
                <w:color w:val="0070C0"/>
                <w:sz w:val="22"/>
                <w:szCs w:val="22"/>
                <w:lang w:eastAsia="en-US"/>
              </w:rPr>
              <w:t xml:space="preserve"> OSR o wydatki CEP</w:t>
            </w:r>
            <w:r w:rsidR="002B1220">
              <w:rPr>
                <w:rFonts w:asciiTheme="minorHAnsi" w:eastAsiaTheme="minorHAnsi" w:hAnsiTheme="minorHAnsi" w:cstheme="minorHAnsi"/>
                <w:b/>
                <w:color w:val="0070C0"/>
                <w:sz w:val="22"/>
                <w:szCs w:val="22"/>
                <w:lang w:eastAsia="en-US"/>
              </w:rPr>
              <w:t xml:space="preserve"> wynikające ze zmian</w:t>
            </w:r>
            <w:r w:rsidRPr="00F96EBD">
              <w:rPr>
                <w:rFonts w:asciiTheme="minorHAnsi" w:eastAsiaTheme="minorHAnsi" w:hAnsiTheme="minorHAnsi" w:cstheme="minorHAnsi"/>
                <w:b/>
                <w:color w:val="0070C0"/>
                <w:sz w:val="22"/>
                <w:szCs w:val="22"/>
                <w:lang w:eastAsia="en-US"/>
              </w:rPr>
              <w:t>.</w:t>
            </w:r>
          </w:p>
        </w:tc>
      </w:tr>
      <w:tr w:rsidR="0059404D" w:rsidRPr="00F515D6" w14:paraId="1F6C7DBA" w14:textId="4666ED01" w:rsidTr="00D76FE7">
        <w:tc>
          <w:tcPr>
            <w:tcW w:w="562" w:type="dxa"/>
          </w:tcPr>
          <w:p w14:paraId="717225A9" w14:textId="77777777" w:rsidR="0059404D" w:rsidRPr="00C353A2" w:rsidRDefault="0059404D" w:rsidP="0042202B">
            <w:pPr>
              <w:rPr>
                <w:rFonts w:cstheme="minorHAnsi"/>
                <w:b/>
              </w:rPr>
            </w:pPr>
            <w:r w:rsidRPr="00C353A2">
              <w:rPr>
                <w:rFonts w:cstheme="minorHAnsi"/>
                <w:b/>
              </w:rPr>
              <w:t>58</w:t>
            </w:r>
          </w:p>
        </w:tc>
        <w:tc>
          <w:tcPr>
            <w:tcW w:w="993" w:type="dxa"/>
          </w:tcPr>
          <w:p w14:paraId="431BB84F" w14:textId="77777777" w:rsidR="0059404D" w:rsidRPr="00C353A2" w:rsidRDefault="0059404D" w:rsidP="0042202B">
            <w:pPr>
              <w:rPr>
                <w:rFonts w:cstheme="minorHAnsi"/>
                <w:b/>
              </w:rPr>
            </w:pPr>
            <w:r w:rsidRPr="00C353A2">
              <w:rPr>
                <w:rFonts w:cstheme="minorHAnsi"/>
                <w:b/>
              </w:rPr>
              <w:t>MC</w:t>
            </w:r>
          </w:p>
        </w:tc>
        <w:tc>
          <w:tcPr>
            <w:tcW w:w="1701" w:type="dxa"/>
          </w:tcPr>
          <w:p w14:paraId="197A888A" w14:textId="77777777" w:rsidR="0059404D" w:rsidRPr="00C353A2" w:rsidRDefault="0059404D" w:rsidP="0042202B">
            <w:pPr>
              <w:rPr>
                <w:rFonts w:cstheme="minorHAnsi"/>
                <w:b/>
              </w:rPr>
            </w:pPr>
            <w:r w:rsidRPr="00C353A2">
              <w:rPr>
                <w:rFonts w:cstheme="minorHAnsi"/>
                <w:b/>
              </w:rPr>
              <w:t>Art. 68i ust. 5  UH</w:t>
            </w:r>
          </w:p>
        </w:tc>
        <w:tc>
          <w:tcPr>
            <w:tcW w:w="5953" w:type="dxa"/>
          </w:tcPr>
          <w:p w14:paraId="5ECDA339" w14:textId="4447D5DE" w:rsidR="0059404D" w:rsidRPr="00C353A2" w:rsidRDefault="0059404D" w:rsidP="0042202B">
            <w:pPr>
              <w:rPr>
                <w:rFonts w:cstheme="minorHAnsi"/>
                <w:b/>
              </w:rPr>
            </w:pPr>
            <w:r w:rsidRPr="00C353A2">
              <w:rPr>
                <w:rFonts w:cstheme="minorHAnsi"/>
                <w:b/>
              </w:rPr>
              <w:t>Art. 68i ust. 5 projektu przewiduje możliwość wniesienia skargi do Dyrektora TDT na zaświadczenie o braku spełnienia wymagań do wydania świadectwa krajowego indywidualnego dopuszczenia pojazdu niebędącego nowym pojazdem. Przepis nie określa jednak terminu ustawowego na wniesienie przedmiotowej skargi. Brak ten rodzi istotne wątpliwości zarówno w zakresie pewności prawa, jak i ochrony interesów stron tego postępowania. Określenie jednolitego terminu zapobiega arbitralnemu różnicowaniu sytuacji poszczególnych podmiotów i wspiera jednolitą praktykę organów. Ponadto bez jasno określonego terminu, Dyrektor TDT nie ma podstaw do odrzucenia skargi jako spóźnionej, co może prowadzić do nadużyć lub niekontrolowanej uznaniowości. Z uwagi na to, że w przeważającej większości procedur administracyjnych oraz quasi-administracyjnych ustawodawca przewiduje terminy na zaskarżenie rozstrzygnięć, brak terminu w omawianym przepisie może być uznany za lukę legislacyjną.</w:t>
            </w:r>
          </w:p>
          <w:p w14:paraId="008D4D5E" w14:textId="69F099ED" w:rsidR="0059404D" w:rsidRPr="00C353A2" w:rsidRDefault="0059404D" w:rsidP="0042202B">
            <w:pPr>
              <w:rPr>
                <w:rFonts w:cstheme="minorHAnsi"/>
                <w:b/>
                <w:i/>
              </w:rPr>
            </w:pPr>
            <w:r w:rsidRPr="00C353A2">
              <w:rPr>
                <w:rFonts w:cstheme="minorHAnsi"/>
                <w:b/>
                <w:i/>
              </w:rPr>
              <w:t>„5. Na zaświadczenie o braku spełnienia wymagań do wydania świadectwa krajowego indywidualnego dopuszczenia pojazdu niebędącego nowym pojazdem właściciel pojazdu może złożyć, za opłatą, w terminie 30 dni od odbioru zaświadczenia, skargę do Dyrektora TDT. Do skargi dołącza się dokumentację w sprawie.”.</w:t>
            </w:r>
          </w:p>
        </w:tc>
        <w:tc>
          <w:tcPr>
            <w:tcW w:w="3827" w:type="dxa"/>
          </w:tcPr>
          <w:p w14:paraId="2C9D5A73" w14:textId="33686985" w:rsidR="0059404D" w:rsidRDefault="0059404D" w:rsidP="0042202B">
            <w:pPr>
              <w:rPr>
                <w:rFonts w:cstheme="minorHAnsi"/>
                <w:b/>
              </w:rPr>
            </w:pPr>
            <w:r w:rsidRPr="00C353A2">
              <w:rPr>
                <w:rFonts w:cstheme="minorHAnsi"/>
                <w:b/>
              </w:rPr>
              <w:t xml:space="preserve">Uwaga uwzględniona – wprowadzono termin na złożenie skargi. </w:t>
            </w:r>
          </w:p>
          <w:p w14:paraId="50968377" w14:textId="4B98E9A2" w:rsidR="0059404D" w:rsidRPr="001B04CC" w:rsidRDefault="0059404D" w:rsidP="0042202B">
            <w:pPr>
              <w:rPr>
                <w:rFonts w:cstheme="minorHAnsi"/>
                <w:b/>
                <w:i/>
              </w:rPr>
            </w:pPr>
            <w:r w:rsidRPr="001B04CC">
              <w:rPr>
                <w:rFonts w:cstheme="minorHAnsi"/>
                <w:b/>
                <w:i/>
              </w:rPr>
              <w:t>„</w:t>
            </w:r>
            <w:r>
              <w:rPr>
                <w:rFonts w:cstheme="minorHAnsi"/>
                <w:b/>
                <w:i/>
              </w:rPr>
              <w:t xml:space="preserve">Art. 68l. </w:t>
            </w:r>
            <w:r w:rsidRPr="001B04CC">
              <w:rPr>
                <w:rFonts w:cstheme="minorHAnsi"/>
                <w:b/>
                <w:i/>
              </w:rPr>
              <w:t>4. Na zaświadczenie o braku spełnienia wymagań do wydania świadectwa krajowego indywidualnego dopuszczenia pojazdu niebędącego nowym pojazdem właściciel pojazdu może złożyć, za opłatą, w terminie 7 od dnia otrzymania zaświadczenia, skargę do Dyrektora TDT. Do skargi dołącza się dokumentację w sprawie wraz z dowodem uiszczenia opłaty.”</w:t>
            </w:r>
          </w:p>
          <w:p w14:paraId="7E81B1FF" w14:textId="77777777" w:rsidR="0059404D" w:rsidRPr="00C353A2" w:rsidRDefault="0059404D" w:rsidP="0042202B">
            <w:pPr>
              <w:rPr>
                <w:rFonts w:cstheme="minorHAnsi"/>
                <w:b/>
                <w:i/>
                <w:highlight w:val="yellow"/>
              </w:rPr>
            </w:pPr>
          </w:p>
          <w:p w14:paraId="47DDB4C3" w14:textId="7FAD0B74" w:rsidR="0059404D" w:rsidRPr="00C353A2" w:rsidRDefault="0059404D" w:rsidP="0042202B">
            <w:pPr>
              <w:pStyle w:val="ZUSTzmustartykuempunktem"/>
              <w:ind w:left="0" w:firstLine="0"/>
              <w:jc w:val="left"/>
              <w:rPr>
                <w:rFonts w:cstheme="minorHAnsi"/>
                <w:b/>
                <w:i/>
              </w:rPr>
            </w:pPr>
          </w:p>
        </w:tc>
        <w:tc>
          <w:tcPr>
            <w:tcW w:w="3686" w:type="dxa"/>
          </w:tcPr>
          <w:p w14:paraId="759F263D" w14:textId="16565964" w:rsidR="0059404D" w:rsidRPr="00C353A2" w:rsidRDefault="008B72FE" w:rsidP="0042202B">
            <w:pPr>
              <w:rPr>
                <w:rFonts w:cstheme="minorHAnsi"/>
                <w:b/>
              </w:rPr>
            </w:pPr>
            <w:r>
              <w:rPr>
                <w:rFonts w:cstheme="minorHAnsi"/>
                <w:b/>
              </w:rPr>
              <w:t xml:space="preserve">Akceptacja </w:t>
            </w:r>
          </w:p>
        </w:tc>
      </w:tr>
      <w:tr w:rsidR="0059404D" w:rsidRPr="00F515D6" w14:paraId="24FA8A72" w14:textId="758ADB0F" w:rsidTr="00D76FE7">
        <w:tc>
          <w:tcPr>
            <w:tcW w:w="562" w:type="dxa"/>
          </w:tcPr>
          <w:p w14:paraId="20200231" w14:textId="77777777" w:rsidR="0059404D" w:rsidRPr="00626C76" w:rsidRDefault="0059404D" w:rsidP="0042202B">
            <w:pPr>
              <w:rPr>
                <w:rFonts w:cstheme="minorHAnsi"/>
                <w:b/>
              </w:rPr>
            </w:pPr>
            <w:r w:rsidRPr="00626C76">
              <w:rPr>
                <w:rFonts w:cstheme="minorHAnsi"/>
                <w:b/>
              </w:rPr>
              <w:t>59</w:t>
            </w:r>
          </w:p>
        </w:tc>
        <w:tc>
          <w:tcPr>
            <w:tcW w:w="993" w:type="dxa"/>
          </w:tcPr>
          <w:p w14:paraId="5E81388C" w14:textId="77777777" w:rsidR="0059404D" w:rsidRDefault="0059404D" w:rsidP="0042202B">
            <w:pPr>
              <w:rPr>
                <w:rFonts w:cstheme="minorHAnsi"/>
                <w:b/>
              </w:rPr>
            </w:pPr>
            <w:r w:rsidRPr="00626C76">
              <w:rPr>
                <w:rFonts w:cstheme="minorHAnsi"/>
                <w:b/>
              </w:rPr>
              <w:t>MC</w:t>
            </w:r>
          </w:p>
          <w:p w14:paraId="7CD2D376" w14:textId="77777777" w:rsidR="0059404D" w:rsidRDefault="0059404D" w:rsidP="0042202B">
            <w:pPr>
              <w:rPr>
                <w:rFonts w:cstheme="minorHAnsi"/>
                <w:b/>
                <w:color w:val="00B050"/>
              </w:rPr>
            </w:pPr>
          </w:p>
          <w:p w14:paraId="1541BBF3" w14:textId="54F65E44" w:rsidR="0059404D" w:rsidRDefault="0059404D" w:rsidP="0042202B">
            <w:pPr>
              <w:rPr>
                <w:rFonts w:cstheme="minorHAnsi"/>
                <w:b/>
                <w:color w:val="00B050"/>
              </w:rPr>
            </w:pPr>
            <w:bookmarkStart w:id="44" w:name="_Hlk227762094"/>
            <w:r>
              <w:rPr>
                <w:rFonts w:cstheme="minorHAnsi"/>
                <w:b/>
                <w:color w:val="00B050"/>
              </w:rPr>
              <w:t>+ uwaga 13 RCL (art. 68s ust. 1 pkt 4)</w:t>
            </w:r>
          </w:p>
          <w:bookmarkEnd w:id="44"/>
          <w:p w14:paraId="1B10FC4E" w14:textId="77777777" w:rsidR="0059404D" w:rsidRDefault="0059404D" w:rsidP="0042202B">
            <w:pPr>
              <w:rPr>
                <w:rFonts w:cstheme="minorHAnsi"/>
                <w:b/>
                <w:color w:val="00B050"/>
              </w:rPr>
            </w:pPr>
          </w:p>
          <w:p w14:paraId="1E632941" w14:textId="3F074729" w:rsidR="0059404D" w:rsidRDefault="0059404D" w:rsidP="0042202B">
            <w:pPr>
              <w:rPr>
                <w:rFonts w:cstheme="minorHAnsi"/>
                <w:b/>
                <w:color w:val="00B050"/>
              </w:rPr>
            </w:pPr>
            <w:r>
              <w:rPr>
                <w:rFonts w:cstheme="minorHAnsi"/>
                <w:b/>
                <w:color w:val="00B050"/>
              </w:rPr>
              <w:t>+uwaga 34 MFiG (art. 68s ust. 1 pkt 4)</w:t>
            </w:r>
          </w:p>
          <w:p w14:paraId="5D3266A6" w14:textId="77777777" w:rsidR="0059404D" w:rsidRDefault="0059404D" w:rsidP="0042202B">
            <w:pPr>
              <w:rPr>
                <w:rFonts w:cstheme="minorHAnsi"/>
                <w:b/>
                <w:color w:val="00B050"/>
              </w:rPr>
            </w:pPr>
          </w:p>
          <w:p w14:paraId="7198C572" w14:textId="77777777" w:rsidR="0059404D" w:rsidRDefault="0059404D" w:rsidP="0042202B">
            <w:pPr>
              <w:rPr>
                <w:rFonts w:cstheme="minorHAnsi"/>
                <w:b/>
                <w:color w:val="00B050"/>
              </w:rPr>
            </w:pPr>
            <w:r>
              <w:rPr>
                <w:rFonts w:cstheme="minorHAnsi"/>
                <w:b/>
                <w:color w:val="00B050"/>
              </w:rPr>
              <w:t>+ uwaga 35 MFiG (art. 68s ust. 1 pkt 1)</w:t>
            </w:r>
          </w:p>
          <w:p w14:paraId="0CDB89C6" w14:textId="77777777" w:rsidR="0059404D" w:rsidRDefault="0059404D" w:rsidP="0042202B">
            <w:pPr>
              <w:rPr>
                <w:rFonts w:cstheme="minorHAnsi"/>
                <w:b/>
                <w:color w:val="00B050"/>
              </w:rPr>
            </w:pPr>
          </w:p>
          <w:p w14:paraId="264F84C4" w14:textId="77777777" w:rsidR="0059404D" w:rsidRDefault="0059404D" w:rsidP="0042202B">
            <w:pPr>
              <w:rPr>
                <w:rFonts w:cstheme="minorHAnsi"/>
                <w:b/>
                <w:color w:val="00B050"/>
              </w:rPr>
            </w:pPr>
            <w:r>
              <w:rPr>
                <w:rFonts w:cstheme="minorHAnsi"/>
                <w:b/>
                <w:color w:val="00B050"/>
              </w:rPr>
              <w:t>+uwaga 86 MC (art. 68s ust. 1 pkt 18)</w:t>
            </w:r>
          </w:p>
          <w:p w14:paraId="35CCF9E7" w14:textId="77777777" w:rsidR="0059404D" w:rsidRDefault="0059404D" w:rsidP="0042202B">
            <w:pPr>
              <w:rPr>
                <w:rFonts w:cstheme="minorHAnsi"/>
                <w:b/>
                <w:color w:val="00B050"/>
              </w:rPr>
            </w:pPr>
          </w:p>
          <w:p w14:paraId="53A52267" w14:textId="77777777" w:rsidR="0059404D" w:rsidRDefault="0059404D" w:rsidP="0042202B">
            <w:pPr>
              <w:rPr>
                <w:rFonts w:cstheme="minorHAnsi"/>
                <w:b/>
                <w:color w:val="00B050"/>
              </w:rPr>
            </w:pPr>
            <w:r>
              <w:rPr>
                <w:rFonts w:cstheme="minorHAnsi"/>
                <w:b/>
                <w:color w:val="00B050"/>
              </w:rPr>
              <w:t>+uwaga 88 MC (art. 68s ust. 1 pkt 20)</w:t>
            </w:r>
          </w:p>
          <w:p w14:paraId="0700DF6E" w14:textId="77777777" w:rsidR="0059404D" w:rsidRPr="00626C76" w:rsidRDefault="0059404D" w:rsidP="0042202B">
            <w:pPr>
              <w:rPr>
                <w:rFonts w:cstheme="minorHAnsi"/>
                <w:b/>
              </w:rPr>
            </w:pPr>
          </w:p>
        </w:tc>
        <w:tc>
          <w:tcPr>
            <w:tcW w:w="1701" w:type="dxa"/>
          </w:tcPr>
          <w:p w14:paraId="47883954" w14:textId="77777777" w:rsidR="0059404D" w:rsidRPr="00626C76" w:rsidRDefault="0059404D" w:rsidP="0042202B">
            <w:pPr>
              <w:rPr>
                <w:rFonts w:cstheme="minorHAnsi"/>
                <w:b/>
              </w:rPr>
            </w:pPr>
            <w:r w:rsidRPr="00626C76">
              <w:rPr>
                <w:rFonts w:cstheme="minorHAnsi"/>
                <w:b/>
              </w:rPr>
              <w:t>Art. 68s ust. 1 pkt 16  UH</w:t>
            </w:r>
          </w:p>
        </w:tc>
        <w:tc>
          <w:tcPr>
            <w:tcW w:w="5953" w:type="dxa"/>
          </w:tcPr>
          <w:p w14:paraId="70161E4A" w14:textId="77777777" w:rsidR="0059404D" w:rsidRPr="00626C76" w:rsidRDefault="0059404D" w:rsidP="0042202B">
            <w:pPr>
              <w:rPr>
                <w:rFonts w:cstheme="minorHAnsi"/>
                <w:b/>
              </w:rPr>
            </w:pPr>
            <w:r w:rsidRPr="00626C76">
              <w:rPr>
                <w:rFonts w:cstheme="minorHAnsi"/>
                <w:b/>
              </w:rPr>
              <w:t xml:space="preserve">Proponuje się wyjaśnienie art. 68s ust. 1 pkt 16, w szczególności przedstawienia danych dotyczących pojazdów, które nie spełniają wymagań. Z proponowanych regulacji nie wynika, jakie konkretnie dane miałyby być gromadzone w ewidencji, nie jest zatem możliwe oszacowanie zakresu zmiany ani jej potencjalnego wpływu na system informatyczny centralnej ewidencji pojazdów. Wyjaśnienia zatem wymaga zakres danych, które dodatkowo miałyby być gromadzone w ewidencji, czy informacja ta powinna być uwidaczniana przez cały okres życia pojazdu czy też będzie odwoływana i w wyniku jakich czynności. Dopiero po szczegółowych wyjaśnieniach możliwe będzie potwierdzenie zasadności gromadzenia przedmiotowych danych w ewidencji, a także wskazanie </w:t>
            </w:r>
            <w:r w:rsidRPr="005B3C61">
              <w:rPr>
                <w:rFonts w:cstheme="minorHAnsi"/>
                <w:b/>
              </w:rPr>
              <w:t>możliwych terminów przygotowania systemu do obsługi nowego zakresu. Wyjaśnienia również wymaga czy niespełnienie wymagań oznacza wydanie decyzji o cofnięciu świadectwa indywidualnego dopuszczenia, które ma wydawać diagnosta, czy jest to szersza informacja.</w:t>
            </w:r>
          </w:p>
          <w:p w14:paraId="500C3876" w14:textId="6FF6F4B1" w:rsidR="0059404D" w:rsidRPr="00626C76" w:rsidRDefault="0059404D" w:rsidP="0042202B">
            <w:pPr>
              <w:rPr>
                <w:rFonts w:cstheme="minorHAnsi"/>
                <w:b/>
              </w:rPr>
            </w:pPr>
          </w:p>
        </w:tc>
        <w:tc>
          <w:tcPr>
            <w:tcW w:w="3827" w:type="dxa"/>
          </w:tcPr>
          <w:p w14:paraId="39BA41F6" w14:textId="0777DBCC" w:rsidR="0059404D" w:rsidRDefault="0059404D" w:rsidP="0042202B">
            <w:pPr>
              <w:rPr>
                <w:b/>
              </w:rPr>
            </w:pPr>
            <w:r w:rsidRPr="00626C76">
              <w:rPr>
                <w:b/>
              </w:rPr>
              <w:t xml:space="preserve">Uwaga </w:t>
            </w:r>
            <w:r>
              <w:rPr>
                <w:b/>
              </w:rPr>
              <w:t>wyjaśniona</w:t>
            </w:r>
            <w:r w:rsidRPr="00626C76">
              <w:rPr>
                <w:b/>
              </w:rPr>
              <w:t xml:space="preserve"> – wprowadzono zmianę brzmienia przepisów art. 53b, art. 68s ust. 1 pkt 1</w:t>
            </w:r>
            <w:r>
              <w:rPr>
                <w:b/>
              </w:rPr>
              <w:t>5</w:t>
            </w:r>
            <w:r w:rsidRPr="00626C76">
              <w:rPr>
                <w:b/>
              </w:rPr>
              <w:t xml:space="preserve"> w zakresie UH, oraz art. 79 ust. 3c i art. 80b ust. 1 pkt 18</w:t>
            </w:r>
            <w:r>
              <w:rPr>
                <w:b/>
              </w:rPr>
              <w:t xml:space="preserve">c </w:t>
            </w:r>
            <w:r w:rsidRPr="00626C76">
              <w:rPr>
                <w:b/>
              </w:rPr>
              <w:t xml:space="preserve">PRD. </w:t>
            </w:r>
          </w:p>
          <w:p w14:paraId="1C37E4D9" w14:textId="77777777" w:rsidR="0059404D" w:rsidRPr="00626C76" w:rsidRDefault="0059404D" w:rsidP="0042202B">
            <w:pPr>
              <w:rPr>
                <w:b/>
              </w:rPr>
            </w:pPr>
          </w:p>
          <w:p w14:paraId="553116F9" w14:textId="12E47108" w:rsidR="0059404D" w:rsidRPr="00626C76" w:rsidRDefault="0059404D" w:rsidP="0042202B">
            <w:pPr>
              <w:rPr>
                <w:b/>
              </w:rPr>
            </w:pPr>
            <w:r w:rsidRPr="00626C76">
              <w:rPr>
                <w:b/>
              </w:rPr>
              <w:t xml:space="preserve">Przekazywaniem do ewidencji objęte będą pojazdy objęte decyzjami Dyrektora TDT, o których mowa w art. 53b ust. 1 lub 3 UH i jednocześnie koniecznością wycofania z rynku lub użytku. </w:t>
            </w:r>
          </w:p>
          <w:p w14:paraId="369CE11A" w14:textId="3B747CCF" w:rsidR="0059404D" w:rsidRPr="00626C76" w:rsidRDefault="0059404D" w:rsidP="0042202B">
            <w:pPr>
              <w:rPr>
                <w:b/>
              </w:rPr>
            </w:pPr>
            <w:r w:rsidRPr="00626C76">
              <w:rPr>
                <w:b/>
              </w:rPr>
              <w:t xml:space="preserve">Na chwilę obecną, ze względu na nowy charakter zadania, nie jest możliwe wskazanie w sposób pewny skali pojazdów objętych tymi decyzjami. Szacujemy, iż w danym roku może to być  od 1 pojazdu do 50 tysięcy pojazdów. Liczba ta będzie również zależna od charakteru prowadzonej działalności i sposobu wprowadzania pojazdów do obrotu – w przypadku importu pojazdów o danym modelu z kraju trzeciego decyzje mogą dotyczyć pojedynczych sztuk. Natomiast w przypadku wprowadzania do obrotu pojazdów przez duże podmioty na dużą skalę, gdzie rocznie sprzedawanych jest po 10-20 tysięcy samochodów, decyzją o wycofaniu objęte mogą być większe ilości pojazdów.  </w:t>
            </w:r>
          </w:p>
          <w:p w14:paraId="57ED6116" w14:textId="0564F0B8" w:rsidR="0059404D" w:rsidRPr="00626C76" w:rsidRDefault="0059404D" w:rsidP="0042202B">
            <w:pPr>
              <w:rPr>
                <w:b/>
              </w:rPr>
            </w:pPr>
            <w:r w:rsidRPr="00626C76">
              <w:rPr>
                <w:b/>
              </w:rPr>
              <w:t xml:space="preserve">Zakres danych, jakie powinny być gromadzone w ewidencji: informacja o decyzji Dyrektora TDT o wycofaniu pojazdu z rynku lub użytku, wprowadzona do informacji o pojeździe zarejestrowanym widniejących w ewidencji. </w:t>
            </w:r>
          </w:p>
          <w:p w14:paraId="40271CC3" w14:textId="77777777" w:rsidR="0059404D" w:rsidRDefault="0059404D" w:rsidP="0042202B">
            <w:pPr>
              <w:rPr>
                <w:b/>
              </w:rPr>
            </w:pPr>
            <w:r w:rsidRPr="00626C76">
              <w:rPr>
                <w:b/>
              </w:rPr>
              <w:t xml:space="preserve">Art. 53b ust. </w:t>
            </w:r>
            <w:r>
              <w:rPr>
                <w:b/>
              </w:rPr>
              <w:t>7</w:t>
            </w:r>
            <w:r w:rsidRPr="00626C76">
              <w:rPr>
                <w:b/>
              </w:rPr>
              <w:t xml:space="preserve"> wskazuje, iż pojazd, wycofany z rynku lub użytku nie może być ponownie udostępniony na rynku.</w:t>
            </w:r>
          </w:p>
          <w:p w14:paraId="0F35596B" w14:textId="316D10B7" w:rsidR="0059404D" w:rsidRPr="00626C76" w:rsidRDefault="0059404D" w:rsidP="0042202B">
            <w:pPr>
              <w:rPr>
                <w:b/>
              </w:rPr>
            </w:pPr>
            <w:r w:rsidRPr="00626C76">
              <w:rPr>
                <w:b/>
              </w:rPr>
              <w:t xml:space="preserve"> </w:t>
            </w:r>
          </w:p>
          <w:p w14:paraId="417481E3" w14:textId="77777777" w:rsidR="0059404D" w:rsidRDefault="0059404D" w:rsidP="0042202B">
            <w:pPr>
              <w:pStyle w:val="ZLITUSTzmustliter"/>
              <w:spacing w:line="240" w:lineRule="auto"/>
              <w:ind w:left="0" w:firstLine="0"/>
              <w:jc w:val="left"/>
              <w:rPr>
                <w:rFonts w:asciiTheme="minorHAnsi" w:eastAsiaTheme="minorHAnsi" w:hAnsiTheme="minorHAnsi" w:cstheme="minorBidi"/>
                <w:b/>
                <w:bCs w:val="0"/>
                <w:sz w:val="22"/>
                <w:szCs w:val="22"/>
                <w:lang w:eastAsia="en-US"/>
              </w:rPr>
            </w:pPr>
            <w:r w:rsidRPr="00626C76">
              <w:rPr>
                <w:rFonts w:asciiTheme="minorHAnsi" w:eastAsiaTheme="minorHAnsi" w:hAnsiTheme="minorHAnsi" w:cstheme="minorBidi"/>
                <w:b/>
                <w:bCs w:val="0"/>
                <w:sz w:val="22"/>
                <w:szCs w:val="22"/>
                <w:lang w:eastAsia="en-US"/>
              </w:rPr>
              <w:t xml:space="preserve">Dodatkowo pojazd będzie podlegał wyrejestrowaniu zgodnie z art. 79 ust. 3c. PRD po wpisaniu informacji o tej decyzji do ewidencji przekazanej do organu rejestrującego. </w:t>
            </w:r>
          </w:p>
          <w:p w14:paraId="161FD8A4" w14:textId="77777777" w:rsidR="0059404D" w:rsidRDefault="0059404D" w:rsidP="0042202B">
            <w:pPr>
              <w:pStyle w:val="ZLITUSTzmustliter"/>
              <w:spacing w:line="240" w:lineRule="auto"/>
              <w:ind w:left="0" w:firstLine="0"/>
              <w:jc w:val="left"/>
              <w:rPr>
                <w:rFonts w:asciiTheme="minorHAnsi" w:eastAsiaTheme="minorHAnsi" w:hAnsiTheme="minorHAnsi" w:cstheme="minorBidi"/>
                <w:b/>
                <w:bCs w:val="0"/>
                <w:sz w:val="22"/>
                <w:szCs w:val="22"/>
                <w:lang w:eastAsia="en-US"/>
              </w:rPr>
            </w:pPr>
          </w:p>
          <w:p w14:paraId="7FDEE4C0" w14:textId="032169C1" w:rsidR="0059404D" w:rsidRPr="00B04390" w:rsidRDefault="0059404D" w:rsidP="0042202B">
            <w:pPr>
              <w:pStyle w:val="ZLITUSTzmustliter"/>
              <w:spacing w:line="240" w:lineRule="auto"/>
              <w:ind w:left="0" w:firstLine="0"/>
              <w:jc w:val="left"/>
              <w:rPr>
                <w:rFonts w:asciiTheme="minorHAnsi" w:eastAsiaTheme="minorHAnsi" w:hAnsiTheme="minorHAnsi" w:cstheme="minorBidi"/>
                <w:b/>
                <w:bCs w:val="0"/>
                <w:i/>
                <w:sz w:val="22"/>
                <w:szCs w:val="22"/>
                <w:lang w:eastAsia="en-US"/>
              </w:rPr>
            </w:pPr>
            <w:r w:rsidRPr="00B04390">
              <w:rPr>
                <w:rFonts w:asciiTheme="minorHAnsi" w:eastAsiaTheme="minorHAnsi" w:hAnsiTheme="minorHAnsi" w:cstheme="minorBidi"/>
                <w:b/>
                <w:bCs w:val="0"/>
                <w:i/>
                <w:sz w:val="22"/>
                <w:szCs w:val="22"/>
                <w:lang w:eastAsia="en-US"/>
              </w:rPr>
              <w:t>„3c.</w:t>
            </w:r>
            <w:r>
              <w:rPr>
                <w:rFonts w:asciiTheme="minorHAnsi" w:eastAsiaTheme="minorHAnsi" w:hAnsiTheme="minorHAnsi" w:cstheme="minorBidi"/>
                <w:b/>
                <w:bCs w:val="0"/>
                <w:i/>
                <w:sz w:val="22"/>
                <w:szCs w:val="22"/>
                <w:lang w:eastAsia="en-US"/>
              </w:rPr>
              <w:t xml:space="preserve"> </w:t>
            </w:r>
            <w:r w:rsidRPr="00B04390">
              <w:rPr>
                <w:rFonts w:asciiTheme="minorHAnsi" w:eastAsiaTheme="minorHAnsi" w:hAnsiTheme="minorHAnsi" w:cstheme="minorBidi"/>
                <w:b/>
                <w:bCs w:val="0"/>
                <w:i/>
                <w:sz w:val="22"/>
                <w:szCs w:val="22"/>
                <w:lang w:eastAsia="en-US"/>
              </w:rPr>
              <w:t>Organ rejestrujący dokonuje wyrejestrowania pojazdu z urzędu na podstawie informacji otrzymanej od administratora danych i informacji zgromadzonych w centralnej ewidencji pojazdów o wydaniu przez Dyrektora Transportowego Dozoru Technicznego decyzji o wycofaniu pojazdu z rynku lub użytku, o której mowa w art. 53b ust. 1 lub ust. 3 ustawy z dnia 14 kwietnia 2023 r. o systemach homologacji pojazdów oraz ich wyposażenia, niezwłocznie po dniu otrzymania tej informacji.”;</w:t>
            </w:r>
          </w:p>
        </w:tc>
        <w:tc>
          <w:tcPr>
            <w:tcW w:w="3686" w:type="dxa"/>
          </w:tcPr>
          <w:p w14:paraId="6B02B3AD" w14:textId="2EA48EA8" w:rsidR="0059404D" w:rsidRPr="00626C76" w:rsidRDefault="008B72FE" w:rsidP="0042202B">
            <w:pPr>
              <w:rPr>
                <w:b/>
              </w:rPr>
            </w:pPr>
            <w:r>
              <w:rPr>
                <w:b/>
              </w:rPr>
              <w:t xml:space="preserve">Akceptacja </w:t>
            </w:r>
          </w:p>
        </w:tc>
      </w:tr>
      <w:tr w:rsidR="000B75B6" w:rsidRPr="00F515D6" w14:paraId="156AE101" w14:textId="61B3DCF8" w:rsidTr="00D76FE7">
        <w:tc>
          <w:tcPr>
            <w:tcW w:w="562" w:type="dxa"/>
          </w:tcPr>
          <w:p w14:paraId="3A9DF215" w14:textId="77777777" w:rsidR="000B75B6" w:rsidRPr="00201967" w:rsidRDefault="000B75B6" w:rsidP="0042202B">
            <w:pPr>
              <w:rPr>
                <w:rFonts w:cstheme="minorHAnsi"/>
                <w:b/>
              </w:rPr>
            </w:pPr>
            <w:r w:rsidRPr="00201967">
              <w:rPr>
                <w:rFonts w:cstheme="minorHAnsi"/>
                <w:b/>
              </w:rPr>
              <w:t>60</w:t>
            </w:r>
          </w:p>
        </w:tc>
        <w:tc>
          <w:tcPr>
            <w:tcW w:w="993" w:type="dxa"/>
          </w:tcPr>
          <w:p w14:paraId="585CF215" w14:textId="77777777" w:rsidR="000B75B6" w:rsidRPr="00201967" w:rsidRDefault="000B75B6" w:rsidP="0042202B">
            <w:pPr>
              <w:rPr>
                <w:rFonts w:cstheme="minorHAnsi"/>
                <w:b/>
              </w:rPr>
            </w:pPr>
            <w:r w:rsidRPr="00201967">
              <w:rPr>
                <w:rFonts w:cstheme="minorHAnsi"/>
                <w:b/>
              </w:rPr>
              <w:t>MC</w:t>
            </w:r>
          </w:p>
        </w:tc>
        <w:tc>
          <w:tcPr>
            <w:tcW w:w="1701" w:type="dxa"/>
          </w:tcPr>
          <w:p w14:paraId="00C00366" w14:textId="77777777" w:rsidR="000B75B6" w:rsidRPr="00201967" w:rsidRDefault="000B75B6" w:rsidP="0042202B">
            <w:pPr>
              <w:rPr>
                <w:rFonts w:eastAsia="Calibri" w:cstheme="minorHAnsi"/>
                <w:b/>
              </w:rPr>
            </w:pPr>
            <w:r w:rsidRPr="00201967">
              <w:rPr>
                <w:rFonts w:eastAsia="Calibri" w:cstheme="minorHAnsi"/>
                <w:b/>
              </w:rPr>
              <w:t xml:space="preserve">Art. 68zi ust. 14 i 15 </w:t>
            </w:r>
            <w:r w:rsidRPr="00201967">
              <w:rPr>
                <w:rFonts w:cstheme="minorHAnsi"/>
                <w:b/>
              </w:rPr>
              <w:t xml:space="preserve"> UH</w:t>
            </w:r>
          </w:p>
          <w:p w14:paraId="614F0584" w14:textId="77777777" w:rsidR="000B75B6" w:rsidRPr="00201967" w:rsidRDefault="000B75B6" w:rsidP="0042202B">
            <w:pPr>
              <w:rPr>
                <w:rFonts w:cstheme="minorHAnsi"/>
                <w:b/>
              </w:rPr>
            </w:pPr>
          </w:p>
        </w:tc>
        <w:tc>
          <w:tcPr>
            <w:tcW w:w="5953" w:type="dxa"/>
          </w:tcPr>
          <w:p w14:paraId="2F939244" w14:textId="77777777" w:rsidR="000B75B6" w:rsidRPr="00201967" w:rsidRDefault="000B75B6" w:rsidP="0042202B">
            <w:pPr>
              <w:rPr>
                <w:rFonts w:eastAsia="Calibri" w:cstheme="minorHAnsi"/>
                <w:b/>
              </w:rPr>
            </w:pPr>
            <w:r w:rsidRPr="00201967">
              <w:rPr>
                <w:rFonts w:eastAsia="Calibri" w:cstheme="minorHAnsi"/>
                <w:b/>
              </w:rPr>
              <w:t>Projektowany przepis przyznaje kontrolującym z TDT prawo do posługiwania się fałszywymi danymi osobowymi oraz tworzy podstawę do prowadzenia przez organ publiczny „bazy” takich danych. Chociaż cel (zapewnienie anonimowości przy zakupie kontrolnym) jest zrozumiały, proponowane rozwiązanie budzi wątpliwości z perspektywy zasad ochrony danych i państwa prawa (zasada integralności i poufności danych z art. 5 ust. 1 lit. f RODO oraz zasada rozliczalności z art. 5 ust. 2 RODO).</w:t>
            </w:r>
          </w:p>
          <w:p w14:paraId="4B5EFC91" w14:textId="77777777" w:rsidR="000B75B6" w:rsidRPr="00201967" w:rsidRDefault="000B75B6" w:rsidP="0042202B">
            <w:pPr>
              <w:rPr>
                <w:rFonts w:eastAsia="Calibri" w:cstheme="minorHAnsi"/>
                <w:b/>
              </w:rPr>
            </w:pPr>
            <w:r w:rsidRPr="00201967">
              <w:rPr>
                <w:rFonts w:eastAsia="Calibri" w:cstheme="minorHAnsi"/>
                <w:b/>
              </w:rPr>
              <w:t>W uzasadnieniu (strona 35) opisano procedurę zakupu kontrolnego: „W celu zapewnienia anonimowości kontrolujący jest uprawniony do posługiwania się innym niż rzeczywiste imieniem i nazwiskiem oraz adresem zamieszkania, a także innym niż służbowy adresem mailowym...” oraz „Dyrektor TDT jako organ nadzoru rynku prowadzi bazę imion i nazwisk, adresów zamieszkania oraz adresów mailowych, spośród których losowo jest wybierane imię i nazwisko, adres zamieszkania oraz adres mailowy...”.</w:t>
            </w:r>
          </w:p>
          <w:p w14:paraId="160C138E" w14:textId="77777777" w:rsidR="000B75B6" w:rsidRPr="00201967" w:rsidRDefault="000B75B6" w:rsidP="0042202B">
            <w:pPr>
              <w:rPr>
                <w:rFonts w:eastAsia="Calibri" w:cstheme="minorHAnsi"/>
                <w:b/>
              </w:rPr>
            </w:pPr>
            <w:r w:rsidRPr="00201967">
              <w:rPr>
                <w:rFonts w:eastAsia="Calibri" w:cstheme="minorHAnsi"/>
                <w:b/>
              </w:rPr>
              <w:t>Ustawa nie przewiduje żadnych mechanizmów kontroli i nadzoru nad wykorzystaniem tych tożsamości. Kto ma dostęp do tej „bazy”? Jakie są procedury jej tworzenia i usuwania z niej danych? Jakie są logi i ścieżki audytu wykorzystania poszczególnych tożsamości? Brak tych elementów stwarza wysokie ryzyko, trudnych do wykrycia i weryfikacji, nadużyć.</w:t>
            </w:r>
          </w:p>
          <w:p w14:paraId="6856EFFF" w14:textId="77777777" w:rsidR="000B75B6" w:rsidRPr="00201967" w:rsidRDefault="000B75B6" w:rsidP="0042202B">
            <w:pPr>
              <w:rPr>
                <w:rFonts w:eastAsia="Calibri" w:cstheme="minorHAnsi"/>
                <w:b/>
              </w:rPr>
            </w:pPr>
            <w:r w:rsidRPr="00201967">
              <w:rPr>
                <w:rFonts w:eastAsia="Calibri" w:cstheme="minorHAnsi"/>
                <w:b/>
              </w:rPr>
              <w:t>Sformułowanie „baza imion i nazwisk, adresów zamieszkania oraz adresów mailowych” jest niejasne. Czy chodzi o dane całkowicie fikcyjne, czy też o dane innych niż kontrolujący, rzeczywistych osób, które zostaną wykorzystane bez ich wiedzy i zgody (np. poprzez losowe przypisanie)? Ta druga opcja byłaby rażącym naruszeniem praw tych osób. Proponuje się jednoznacznie określić w przepisie, że chodzi o dane fikcyjne.</w:t>
            </w:r>
          </w:p>
          <w:p w14:paraId="6A41F96D" w14:textId="77777777" w:rsidR="000B75B6" w:rsidRPr="00201967" w:rsidRDefault="000B75B6" w:rsidP="0042202B">
            <w:pPr>
              <w:rPr>
                <w:rFonts w:eastAsia="Calibri" w:cstheme="minorHAnsi"/>
                <w:b/>
              </w:rPr>
            </w:pPr>
            <w:r w:rsidRPr="00201967">
              <w:rPr>
                <w:rFonts w:eastAsia="Calibri" w:cstheme="minorHAnsi"/>
                <w:b/>
              </w:rPr>
              <w:t xml:space="preserve">Przyznanie organowi administracji publicznej uprawnień do tworzenia i operacyjnego wykorzystywania innych tożsamości jest środkiem skrajnie inwazyjnym, zwykle zarezerwowanym dla służb specjalnych i policji, i obwarowanym licznymi ograniczeniami (np. zgoda sądu). Zastosowanie tak daleko idącego narzędzia do kontroli rynku części samochodowych może być uznane za nieproporcjonalne w demokratycznym państwie. </w:t>
            </w:r>
          </w:p>
          <w:p w14:paraId="391E6BA1" w14:textId="73B1BBE6" w:rsidR="000B75B6" w:rsidRPr="00201967" w:rsidRDefault="000B75B6" w:rsidP="0042202B">
            <w:pPr>
              <w:rPr>
                <w:rFonts w:eastAsia="Calibri" w:cstheme="minorHAnsi"/>
                <w:b/>
              </w:rPr>
            </w:pPr>
            <w:r w:rsidRPr="00201967">
              <w:rPr>
                <w:rFonts w:eastAsia="Calibri" w:cstheme="minorHAnsi"/>
                <w:b/>
              </w:rPr>
              <w:t>Proponowany przepis, w obecnym kształcie, budzi wątpliwości czy przetwarzanie danych (danych osobowych funkcjonariuszy powiązane z danymi przypisanymi z bazy Dyrektora TDT) będzie odbywało się w sposób zapewniający odpowiednie bezpieczeństwo danych osobowych, jak wymaga art. 5 ust. 1 lit. f RODO.</w:t>
            </w:r>
          </w:p>
        </w:tc>
        <w:tc>
          <w:tcPr>
            <w:tcW w:w="3827" w:type="dxa"/>
          </w:tcPr>
          <w:p w14:paraId="6CA2AED1" w14:textId="2FF5343B" w:rsidR="000B75B6" w:rsidRPr="00981780" w:rsidRDefault="000B75B6" w:rsidP="0042202B">
            <w:pPr>
              <w:rPr>
                <w:rFonts w:cstheme="minorHAnsi"/>
                <w:b/>
                <w:u w:val="single"/>
              </w:rPr>
            </w:pPr>
            <w:r w:rsidRPr="00981780">
              <w:rPr>
                <w:rFonts w:cstheme="minorHAnsi"/>
                <w:b/>
                <w:u w:val="single"/>
              </w:rPr>
              <w:t xml:space="preserve">Temat do dyskusji w trakcie konferencji (MC, Prezes UODO, </w:t>
            </w:r>
            <w:r>
              <w:rPr>
                <w:rFonts w:cstheme="minorHAnsi"/>
                <w:b/>
                <w:u w:val="single"/>
              </w:rPr>
              <w:t xml:space="preserve">MRiT – UC45, </w:t>
            </w:r>
            <w:r w:rsidRPr="00981780">
              <w:rPr>
                <w:rFonts w:cstheme="minorHAnsi"/>
                <w:b/>
                <w:u w:val="single"/>
              </w:rPr>
              <w:t xml:space="preserve">UOKiK – UC142). </w:t>
            </w:r>
          </w:p>
          <w:p w14:paraId="31298F1F" w14:textId="1FDF09A9" w:rsidR="000B75B6" w:rsidRPr="008807F6" w:rsidRDefault="000B75B6" w:rsidP="0042202B">
            <w:pPr>
              <w:rPr>
                <w:rFonts w:cstheme="minorHAnsi"/>
                <w:b/>
              </w:rPr>
            </w:pPr>
            <w:r w:rsidRPr="008807F6">
              <w:rPr>
                <w:rFonts w:cstheme="minorHAnsi"/>
                <w:b/>
              </w:rPr>
              <w:t xml:space="preserve">Uwaga </w:t>
            </w:r>
            <w:r>
              <w:rPr>
                <w:rFonts w:cstheme="minorHAnsi"/>
                <w:b/>
              </w:rPr>
              <w:t>wyjaśniona i uwzględniona</w:t>
            </w:r>
            <w:r w:rsidRPr="008807F6">
              <w:rPr>
                <w:rFonts w:cstheme="minorHAnsi"/>
                <w:b/>
              </w:rPr>
              <w:t>.</w:t>
            </w:r>
          </w:p>
          <w:p w14:paraId="1F1A4435" w14:textId="2B796B4C" w:rsidR="000B75B6" w:rsidRDefault="000B75B6" w:rsidP="0042202B">
            <w:pPr>
              <w:rPr>
                <w:rFonts w:cstheme="minorHAnsi"/>
                <w:b/>
                <w:i/>
              </w:rPr>
            </w:pPr>
            <w:r w:rsidRPr="008807F6">
              <w:rPr>
                <w:rFonts w:cstheme="minorHAnsi"/>
                <w:b/>
              </w:rPr>
              <w:t xml:space="preserve">Realizując założenia motywu 40 do rozporządzenia 2019/1020 tj. </w:t>
            </w:r>
            <w:r w:rsidRPr="008807F6">
              <w:rPr>
                <w:rFonts w:cstheme="minorHAnsi"/>
                <w:b/>
                <w:i/>
              </w:rPr>
              <w:t>„</w:t>
            </w:r>
            <w:r w:rsidRPr="008807F6">
              <w:rPr>
                <w:b/>
                <w:i/>
              </w:rPr>
              <w:t xml:space="preserve">Organy nadzoru rynku powinny mieć możliwość kontroli zgodności produktów, które mają zostać udostępnione na rynku, z unijnym prawodawstwem harmonizacyjnym oraz pozyskania dowodów niezgodności. Powinny zatem być uprawnione do pozyskiwania produktów, a jeżeli dowodów nie można uzyskać w inny sposób - do zakupu produktów pod ukrytą tożsamością” </w:t>
            </w:r>
            <w:r w:rsidRPr="008807F6">
              <w:rPr>
                <w:b/>
              </w:rPr>
              <w:t xml:space="preserve">w rozporządzeniu tym wprowadzono art. 14, który w ust. 1 stanowi, że </w:t>
            </w:r>
            <w:r w:rsidRPr="008807F6">
              <w:rPr>
                <w:rFonts w:cstheme="minorHAnsi"/>
                <w:b/>
              </w:rPr>
              <w:t>„</w:t>
            </w:r>
            <w:r w:rsidRPr="008807F6">
              <w:rPr>
                <w:rFonts w:cstheme="minorHAnsi"/>
                <w:b/>
                <w:i/>
              </w:rPr>
              <w:t>Państwa członkowskie nadają swoim organom nadzoru rynku uprawnienia do nadzorowania rynku, prowadzenia postępowań i egzekwowania przepisów, które są niezbędne do stosowania niniejszego rozporządzenia oraz do stosowania unijnego prawodawstwa harmonizacyjnego.</w:t>
            </w:r>
            <w:r w:rsidRPr="008807F6">
              <w:rPr>
                <w:rFonts w:cstheme="minorHAnsi"/>
                <w:b/>
              </w:rPr>
              <w:t xml:space="preserve">” Natomiast zgodnie z ust. 4 lit. j tego przepisu </w:t>
            </w:r>
            <w:r w:rsidRPr="008807F6">
              <w:rPr>
                <w:rFonts w:cstheme="minorHAnsi"/>
                <w:b/>
                <w:i/>
              </w:rPr>
              <w:t xml:space="preserve">„Uprawnienia nadane organom nadzoru rynku na mocy ust. 1 obejmują co najmniej następujące uprawnienia: uprawnienia do pozyskiwania próbek produktów, w tym pod ukrytą tożsamością, aby je zbadać i poddać inżynierii odwrotnej w celu wykrycia niezgodności i uzyskania dowodów”. </w:t>
            </w:r>
          </w:p>
          <w:p w14:paraId="6C1609DD" w14:textId="24855986" w:rsidR="000B75B6" w:rsidRDefault="000B75B6" w:rsidP="0042202B">
            <w:pPr>
              <w:rPr>
                <w:rFonts w:cstheme="minorHAnsi"/>
                <w:b/>
                <w:i/>
              </w:rPr>
            </w:pPr>
          </w:p>
          <w:p w14:paraId="551B3348" w14:textId="77777777" w:rsidR="000B75B6" w:rsidRPr="002D5762" w:rsidRDefault="000B75B6" w:rsidP="0042202B">
            <w:pPr>
              <w:rPr>
                <w:rFonts w:cstheme="minorHAnsi"/>
                <w:b/>
              </w:rPr>
            </w:pPr>
            <w:r w:rsidRPr="002D5762">
              <w:rPr>
                <w:rFonts w:cstheme="minorHAnsi"/>
                <w:b/>
              </w:rPr>
              <w:t xml:space="preserve">Zapis art. 68zi dotyczący zakupu pod ukrytą tożsamością jest </w:t>
            </w:r>
            <w:r>
              <w:rPr>
                <w:rFonts w:cstheme="minorHAnsi"/>
                <w:b/>
              </w:rPr>
              <w:t xml:space="preserve">zatem </w:t>
            </w:r>
            <w:r w:rsidRPr="002D5762">
              <w:rPr>
                <w:rFonts w:cstheme="minorHAnsi"/>
                <w:b/>
              </w:rPr>
              <w:t>realizacją art. 14 rozporządzenia 2019/1020. Organ nadzoru rynku musi mieć możliwość dokonywania takich zakupów, co wynika wprost z prawa wspólnotowego.</w:t>
            </w:r>
          </w:p>
          <w:p w14:paraId="4BF48B10" w14:textId="77777777" w:rsidR="000B75B6" w:rsidRDefault="000B75B6" w:rsidP="0042202B">
            <w:pPr>
              <w:rPr>
                <w:rFonts w:cstheme="minorHAnsi"/>
                <w:b/>
              </w:rPr>
            </w:pPr>
            <w:r w:rsidRPr="002D5762">
              <w:rPr>
                <w:rFonts w:cstheme="minorHAnsi"/>
                <w:b/>
              </w:rPr>
              <w:t>Dodatkowo należy zauważyć, że organ nadzoru rynku powinien mieć również możliwość zakupu pojazdów, przedmiotów wyposażenia i części pod ukrytą tożsamością, ponieważ sprzedawca wiedząc o kontroli mógłby specjalnie wysyłać do kontroli produkt zgodny z wymaganiami technicznymi, a innym użytkownikom udostępniać w dalszym ciągu produkty niezgodne</w:t>
            </w:r>
            <w:r>
              <w:rPr>
                <w:rFonts w:cstheme="minorHAnsi"/>
                <w:b/>
              </w:rPr>
              <w:t xml:space="preserve"> z przewidzianymi dla niego przepisami</w:t>
            </w:r>
            <w:r w:rsidRPr="002D5762">
              <w:rPr>
                <w:rFonts w:cstheme="minorHAnsi"/>
                <w:b/>
              </w:rPr>
              <w:t>.</w:t>
            </w:r>
          </w:p>
          <w:p w14:paraId="50F49918" w14:textId="77777777" w:rsidR="000B75B6" w:rsidRDefault="000B75B6" w:rsidP="0042202B">
            <w:pPr>
              <w:rPr>
                <w:b/>
                <w:i/>
                <w:szCs w:val="24"/>
              </w:rPr>
            </w:pPr>
          </w:p>
          <w:p w14:paraId="2AC8356F" w14:textId="794115F7" w:rsidR="000B75B6" w:rsidRDefault="000B75B6" w:rsidP="0042202B">
            <w:pPr>
              <w:rPr>
                <w:rFonts w:cstheme="minorHAnsi"/>
                <w:b/>
              </w:rPr>
            </w:pPr>
            <w:r>
              <w:rPr>
                <w:rFonts w:cstheme="minorHAnsi"/>
                <w:b/>
              </w:rPr>
              <w:t xml:space="preserve">Prezes UODO nie zgłosił uwag do tego przepisu. </w:t>
            </w:r>
          </w:p>
          <w:p w14:paraId="400108C7" w14:textId="77777777" w:rsidR="000B75B6" w:rsidRDefault="000B75B6" w:rsidP="0042202B">
            <w:pPr>
              <w:rPr>
                <w:rFonts w:cstheme="minorHAnsi"/>
                <w:b/>
              </w:rPr>
            </w:pPr>
          </w:p>
          <w:p w14:paraId="00077D50" w14:textId="452F3B41" w:rsidR="000B75B6" w:rsidRDefault="000B75B6" w:rsidP="0042202B">
            <w:pPr>
              <w:rPr>
                <w:rFonts w:cstheme="minorHAnsi"/>
                <w:b/>
              </w:rPr>
            </w:pPr>
            <w:r>
              <w:rPr>
                <w:rFonts w:cstheme="minorHAnsi"/>
                <w:b/>
              </w:rPr>
              <w:t xml:space="preserve">W kontekście uwagi zaproponowano zmianę w art. 68zi ust. 14 w powiązaniu z ust. 13 poprzez dodanie określenia „fikcyjne”: </w:t>
            </w:r>
          </w:p>
          <w:p w14:paraId="3A5F2920" w14:textId="77777777" w:rsidR="000B75B6" w:rsidRDefault="000B75B6" w:rsidP="0042202B">
            <w:pPr>
              <w:rPr>
                <w:rFonts w:cstheme="minorHAnsi"/>
                <w:b/>
              </w:rPr>
            </w:pPr>
          </w:p>
          <w:p w14:paraId="6FB979E7" w14:textId="77777777" w:rsidR="000B75B6" w:rsidRPr="008807F6" w:rsidRDefault="000B75B6"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8807F6">
              <w:rPr>
                <w:rFonts w:asciiTheme="minorHAnsi" w:eastAsiaTheme="minorHAnsi" w:hAnsiTheme="minorHAnsi" w:cstheme="minorHAnsi"/>
                <w:b/>
                <w:i/>
                <w:sz w:val="22"/>
                <w:szCs w:val="22"/>
                <w:lang w:eastAsia="en-US"/>
              </w:rPr>
              <w:t>13. W celu zapewnienia anonimowości kontrolujący jest uprawniony do posługiwania się innym niż rzeczywiste imieniem i nazwiskiem oraz adresem zamieszkania, a także innym niż służbowy adresem mailowym, którego login nie ujawnia tożsamości kontrolującego.</w:t>
            </w:r>
          </w:p>
          <w:p w14:paraId="14FBA80E" w14:textId="2D8D04AC" w:rsidR="000B75B6" w:rsidRPr="00E815EE" w:rsidRDefault="000B75B6"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8807F6">
              <w:rPr>
                <w:rFonts w:asciiTheme="minorHAnsi" w:eastAsiaTheme="minorHAnsi" w:hAnsiTheme="minorHAnsi" w:cstheme="minorHAnsi"/>
                <w:b/>
                <w:i/>
                <w:sz w:val="22"/>
                <w:szCs w:val="22"/>
                <w:lang w:eastAsia="en-US"/>
              </w:rPr>
              <w:t xml:space="preserve">14. Dyrektor TDT jako organ nadzoru rynku prowadzi bazę </w:t>
            </w:r>
            <w:r w:rsidRPr="00E815EE">
              <w:rPr>
                <w:rFonts w:asciiTheme="minorHAnsi" w:eastAsiaTheme="minorHAnsi" w:hAnsiTheme="minorHAnsi" w:cstheme="minorHAnsi"/>
                <w:b/>
                <w:i/>
                <w:sz w:val="22"/>
                <w:szCs w:val="22"/>
                <w:u w:val="single"/>
                <w:lang w:eastAsia="en-US"/>
              </w:rPr>
              <w:t>fikcyjnych</w:t>
            </w:r>
            <w:r>
              <w:rPr>
                <w:rFonts w:asciiTheme="minorHAnsi" w:eastAsiaTheme="minorHAnsi" w:hAnsiTheme="minorHAnsi" w:cstheme="minorHAnsi"/>
                <w:b/>
                <w:i/>
                <w:sz w:val="22"/>
                <w:szCs w:val="22"/>
                <w:lang w:eastAsia="en-US"/>
              </w:rPr>
              <w:t xml:space="preserve"> </w:t>
            </w:r>
            <w:r w:rsidRPr="008807F6">
              <w:rPr>
                <w:rFonts w:asciiTheme="minorHAnsi" w:eastAsiaTheme="minorHAnsi" w:hAnsiTheme="minorHAnsi" w:cstheme="minorHAnsi"/>
                <w:b/>
                <w:i/>
                <w:sz w:val="22"/>
                <w:szCs w:val="22"/>
                <w:lang w:eastAsia="en-US"/>
              </w:rPr>
              <w:t>imion i nazwisk, adresów zamieszkania oraz adresów mailowych, spośród których losowo jest wybierane imię i nazwisko, adres zamieszkania oraz adres mailowy, o których mowa w ust. 13.</w:t>
            </w:r>
            <w:r>
              <w:rPr>
                <w:rFonts w:asciiTheme="minorHAnsi" w:eastAsiaTheme="minorHAnsi" w:hAnsiTheme="minorHAnsi" w:cstheme="minorHAnsi"/>
                <w:b/>
                <w:i/>
                <w:sz w:val="22"/>
                <w:szCs w:val="22"/>
                <w:lang w:eastAsia="en-US"/>
              </w:rPr>
              <w:t>”</w:t>
            </w:r>
          </w:p>
        </w:tc>
        <w:tc>
          <w:tcPr>
            <w:tcW w:w="3686" w:type="dxa"/>
          </w:tcPr>
          <w:p w14:paraId="63050C2A" w14:textId="77777777" w:rsidR="000B75B6" w:rsidRDefault="000B75B6" w:rsidP="0042202B">
            <w:pPr>
              <w:rPr>
                <w:b/>
              </w:rPr>
            </w:pPr>
            <w:r>
              <w:rPr>
                <w:b/>
              </w:rPr>
              <w:t xml:space="preserve">Temat do wyjaśnienia z UODO – MI prześle MC i MRiT wyniki ustaleń z UODO.  </w:t>
            </w:r>
          </w:p>
          <w:p w14:paraId="38A5679A" w14:textId="77777777" w:rsidR="00F96EBD" w:rsidRDefault="00F96EBD" w:rsidP="0042202B">
            <w:pPr>
              <w:rPr>
                <w:rFonts w:cstheme="minorHAnsi"/>
                <w:b/>
                <w:u w:val="single"/>
              </w:rPr>
            </w:pPr>
          </w:p>
          <w:p w14:paraId="3E06B4E8" w14:textId="1B6B9CED" w:rsidR="00F96EBD" w:rsidRDefault="00F96EBD" w:rsidP="0042202B">
            <w:pPr>
              <w:rPr>
                <w:rFonts w:cstheme="minorHAnsi"/>
                <w:b/>
                <w:u w:val="single"/>
              </w:rPr>
            </w:pPr>
            <w:r w:rsidRPr="001010BE">
              <w:rPr>
                <w:b/>
                <w:color w:val="0070C0"/>
              </w:rPr>
              <w:t>Przekazan</w:t>
            </w:r>
            <w:r>
              <w:rPr>
                <w:b/>
                <w:color w:val="0070C0"/>
              </w:rPr>
              <w:t>o</w:t>
            </w:r>
            <w:r w:rsidRPr="001010BE">
              <w:rPr>
                <w:b/>
                <w:color w:val="0070C0"/>
              </w:rPr>
              <w:t xml:space="preserve"> MC korespondencję z UODO oraz propozycj</w:t>
            </w:r>
            <w:r>
              <w:rPr>
                <w:b/>
                <w:color w:val="0070C0"/>
              </w:rPr>
              <w:t>ę</w:t>
            </w:r>
            <w:r w:rsidRPr="001010BE">
              <w:rPr>
                <w:b/>
                <w:color w:val="0070C0"/>
              </w:rPr>
              <w:t xml:space="preserve"> zmian</w:t>
            </w:r>
            <w:r>
              <w:rPr>
                <w:b/>
                <w:color w:val="0070C0"/>
              </w:rPr>
              <w:t>y art. 68v</w:t>
            </w:r>
            <w:r w:rsidRPr="001010BE">
              <w:rPr>
                <w:b/>
                <w:color w:val="0070C0"/>
              </w:rPr>
              <w:t xml:space="preserve"> – akceptacja MC</w:t>
            </w:r>
            <w:r w:rsidR="002B1220">
              <w:rPr>
                <w:b/>
                <w:color w:val="0070C0"/>
              </w:rPr>
              <w:t>, do uzasadnienia zakres danych</w:t>
            </w:r>
            <w:r w:rsidRPr="001010BE">
              <w:rPr>
                <w:b/>
                <w:color w:val="0070C0"/>
              </w:rPr>
              <w:t xml:space="preserve">.  </w:t>
            </w:r>
          </w:p>
          <w:p w14:paraId="4C31104D" w14:textId="3C846440" w:rsidR="00F96EBD" w:rsidRPr="00981780" w:rsidRDefault="00F96EBD" w:rsidP="0042202B">
            <w:pPr>
              <w:rPr>
                <w:rFonts w:cstheme="minorHAnsi"/>
                <w:b/>
                <w:u w:val="single"/>
              </w:rPr>
            </w:pPr>
          </w:p>
        </w:tc>
      </w:tr>
      <w:tr w:rsidR="000B75B6" w:rsidRPr="00F515D6" w14:paraId="1AD663B0" w14:textId="114B3DA1" w:rsidTr="00D76FE7">
        <w:tc>
          <w:tcPr>
            <w:tcW w:w="562" w:type="dxa"/>
          </w:tcPr>
          <w:p w14:paraId="40469484" w14:textId="77777777" w:rsidR="000B75B6" w:rsidRPr="00F82BCF" w:rsidRDefault="000B75B6" w:rsidP="0042202B">
            <w:pPr>
              <w:rPr>
                <w:rFonts w:cstheme="minorHAnsi"/>
                <w:b/>
              </w:rPr>
            </w:pPr>
            <w:r w:rsidRPr="00F82BCF">
              <w:rPr>
                <w:rFonts w:cstheme="minorHAnsi"/>
                <w:b/>
              </w:rPr>
              <w:t>61</w:t>
            </w:r>
          </w:p>
        </w:tc>
        <w:tc>
          <w:tcPr>
            <w:tcW w:w="993" w:type="dxa"/>
          </w:tcPr>
          <w:p w14:paraId="6EBC6BC9" w14:textId="77777777" w:rsidR="000B75B6" w:rsidRPr="00F82BCF" w:rsidRDefault="000B75B6" w:rsidP="0042202B">
            <w:pPr>
              <w:rPr>
                <w:rFonts w:cstheme="minorHAnsi"/>
                <w:b/>
              </w:rPr>
            </w:pPr>
            <w:r w:rsidRPr="00F82BCF">
              <w:rPr>
                <w:rFonts w:cstheme="minorHAnsi"/>
                <w:b/>
              </w:rPr>
              <w:t>MC</w:t>
            </w:r>
          </w:p>
        </w:tc>
        <w:tc>
          <w:tcPr>
            <w:tcW w:w="1701" w:type="dxa"/>
          </w:tcPr>
          <w:p w14:paraId="4D7FE412" w14:textId="77777777" w:rsidR="000B75B6" w:rsidRPr="00F82BCF" w:rsidRDefault="000B75B6" w:rsidP="0042202B">
            <w:pPr>
              <w:rPr>
                <w:rFonts w:cstheme="minorHAnsi"/>
                <w:b/>
              </w:rPr>
            </w:pPr>
            <w:r w:rsidRPr="00F82BCF">
              <w:rPr>
                <w:rFonts w:eastAsia="Calibri" w:cstheme="minorHAnsi"/>
                <w:b/>
              </w:rPr>
              <w:t xml:space="preserve">Art. 70 ust. 2 </w:t>
            </w:r>
            <w:r w:rsidRPr="00F82BCF">
              <w:rPr>
                <w:rFonts w:cstheme="minorHAnsi"/>
                <w:b/>
              </w:rPr>
              <w:t xml:space="preserve"> UH</w:t>
            </w:r>
          </w:p>
        </w:tc>
        <w:tc>
          <w:tcPr>
            <w:tcW w:w="5953" w:type="dxa"/>
          </w:tcPr>
          <w:p w14:paraId="3E5D6FAA" w14:textId="77777777" w:rsidR="000B75B6" w:rsidRPr="00F82BCF" w:rsidRDefault="000B75B6" w:rsidP="0042202B">
            <w:pPr>
              <w:rPr>
                <w:rFonts w:eastAsia="Calibri" w:cstheme="minorHAnsi"/>
                <w:b/>
              </w:rPr>
            </w:pPr>
            <w:r w:rsidRPr="00F82BCF">
              <w:rPr>
                <w:rFonts w:eastAsia="Calibri" w:cstheme="minorHAnsi"/>
                <w:b/>
              </w:rPr>
              <w:t xml:space="preserve">Projekt nakłada na podmioty gospodarcze (np. producentów, importerów) obowiązek stworzenia publicznie dostępnego narzędzia internetowego, które po podaniu numeru VIN informuje o akcjach serwisowych. Numer VIN, może być powiązany z konkretną osobą fizyczną i stanowi dane osobowe w rozumieniu RODO. Publicznie dostępna wyszukiwarka VIN stanowi zatem operację przetwarzania danych osobowych na dużą skalę. Prezes UODO przedstawiał w tym zakresie opinię na wniosek Ministra Cyfryzacji. </w:t>
            </w:r>
          </w:p>
          <w:p w14:paraId="2191A088" w14:textId="77777777" w:rsidR="000B75B6" w:rsidRPr="00F82BCF" w:rsidRDefault="000B75B6" w:rsidP="0042202B">
            <w:pPr>
              <w:rPr>
                <w:rFonts w:eastAsia="Calibri" w:cstheme="minorHAnsi"/>
                <w:b/>
              </w:rPr>
            </w:pPr>
            <w:r w:rsidRPr="00F82BCF">
              <w:rPr>
                <w:rFonts w:eastAsia="Calibri" w:cstheme="minorHAnsi"/>
                <w:b/>
              </w:rPr>
              <w:t>Projekt ustawy w tym zakresie może naruszać zasadę uwzględniania ochrony danych w fazie projektowania (privacy by design), określoną w art. 25 RODO. Zasada ta wymaga od administratorów, aby już na etapie projektowania systemów przetwarzania danych wdrażali odpowiednie środki techniczne i organizacyjne w celu skutecznej realizacji zasad ochrony danych (np. minimalizacji) i nadania przetwarzaniu niezbędnych zabezpieczeń. Projektowany przepis całkowicie pomija ten aspekt. Nakazuje stworzenie funkcjonalności, ale nie określa żadnych minimalnych wymogów bezpieczeństwa, które miałyby chronić przetwarzane dane.</w:t>
            </w:r>
          </w:p>
          <w:p w14:paraId="6AC837BA" w14:textId="77777777" w:rsidR="000B75B6" w:rsidRPr="00F82BCF" w:rsidRDefault="000B75B6" w:rsidP="0042202B">
            <w:pPr>
              <w:rPr>
                <w:rFonts w:eastAsia="Calibri" w:cstheme="minorHAnsi"/>
                <w:b/>
              </w:rPr>
            </w:pPr>
            <w:r w:rsidRPr="00F82BCF">
              <w:rPr>
                <w:rFonts w:eastAsia="Calibri" w:cstheme="minorHAnsi"/>
                <w:b/>
              </w:rPr>
              <w:t>Brak takich wymogów stwarza istotne ryzyka, w tym:</w:t>
            </w:r>
          </w:p>
          <w:p w14:paraId="1E0ECEDD" w14:textId="77777777" w:rsidR="000B75B6" w:rsidRPr="00F82BCF" w:rsidRDefault="000B75B6" w:rsidP="0042202B">
            <w:pPr>
              <w:rPr>
                <w:rFonts w:eastAsia="Calibri" w:cstheme="minorHAnsi"/>
                <w:b/>
              </w:rPr>
            </w:pPr>
            <w:r w:rsidRPr="00F82BCF">
              <w:rPr>
                <w:rFonts w:eastAsia="Calibri" w:cstheme="minorHAnsi"/>
                <w:b/>
              </w:rPr>
              <w:t xml:space="preserve"> - data scraping: zautomatyzowane programy mogą masowo odpytywać system, tworząc bazy danych numerów VIN pojazdów objętych konkretnymi akcjami serwisowymi (np. wadami poduszek powietrznych),</w:t>
            </w:r>
          </w:p>
          <w:p w14:paraId="3922A42A" w14:textId="77777777" w:rsidR="000B75B6" w:rsidRPr="00F82BCF" w:rsidRDefault="000B75B6" w:rsidP="0042202B">
            <w:pPr>
              <w:rPr>
                <w:rFonts w:eastAsia="Calibri" w:cstheme="minorHAnsi"/>
                <w:b/>
              </w:rPr>
            </w:pPr>
            <w:r w:rsidRPr="00F82BCF">
              <w:rPr>
                <w:rFonts w:eastAsia="Calibri" w:cstheme="minorHAnsi"/>
                <w:b/>
              </w:rPr>
              <w:t>- profilowanie: zebrane w ten sposób dane mogą być następnie wykorzystywane do profilowania właścicieli pojazdów (np. w celach marketingowych firm konkurencyjnych lub w celach przestępczych, np. identyfikacji pojazdów podatnych na kradzież).</w:t>
            </w:r>
          </w:p>
          <w:p w14:paraId="142E613B" w14:textId="15A78274" w:rsidR="000B75B6" w:rsidRPr="00395C5B" w:rsidRDefault="000B75B6" w:rsidP="0042202B">
            <w:pPr>
              <w:rPr>
                <w:rFonts w:eastAsia="Calibri" w:cstheme="minorHAnsi"/>
                <w:b/>
              </w:rPr>
            </w:pPr>
            <w:r w:rsidRPr="00F82BCF">
              <w:rPr>
                <w:rFonts w:eastAsia="Calibri" w:cstheme="minorHAnsi"/>
                <w:b/>
              </w:rPr>
              <w:t xml:space="preserve">Proponuje się, żeby ustawodawca, tworząc podstawę prawną dla takiego systemu, nałożył </w:t>
            </w:r>
            <w:bookmarkStart w:id="45" w:name="_Hlk219890177"/>
            <w:r w:rsidRPr="00F82BCF">
              <w:rPr>
                <w:rFonts w:eastAsia="Calibri" w:cstheme="minorHAnsi"/>
                <w:b/>
              </w:rPr>
              <w:t xml:space="preserve">na podmioty gospodarcze obowiązek wdrożenia odpowiednich zabezpieczeń, takich jak mechanizmy CAPTCHA, ograniczanie liczby zapytań z jednego adresu IP czy inne środki zapobiegające zautomatyzowanemu gromadzeniu danych. </w:t>
            </w:r>
            <w:bookmarkEnd w:id="45"/>
          </w:p>
        </w:tc>
        <w:tc>
          <w:tcPr>
            <w:tcW w:w="3827" w:type="dxa"/>
          </w:tcPr>
          <w:p w14:paraId="04AAE9EC" w14:textId="72039F9C" w:rsidR="000B75B6" w:rsidRPr="00F82BCF" w:rsidRDefault="000B75B6" w:rsidP="0042202B">
            <w:pPr>
              <w:rPr>
                <w:rFonts w:cstheme="minorHAnsi"/>
                <w:b/>
              </w:rPr>
            </w:pPr>
            <w:r w:rsidRPr="00F82BCF">
              <w:rPr>
                <w:rFonts w:cstheme="minorHAnsi"/>
                <w:b/>
              </w:rPr>
              <w:t>Uwaga uwzględniona – uzupełniono przepis</w:t>
            </w:r>
            <w:r>
              <w:rPr>
                <w:rFonts w:cstheme="minorHAnsi"/>
                <w:b/>
              </w:rPr>
              <w:t xml:space="preserve">, gdzie </w:t>
            </w:r>
            <w:r w:rsidRPr="00981780">
              <w:rPr>
                <w:rFonts w:cstheme="minorHAnsi"/>
                <w:b/>
                <w:i/>
              </w:rPr>
              <w:t>podmiot gospodarczy będzie obowiązany do wdrożenia odpowiednich zabezpieczeń oraz mechanizmów ograniczających liczbę zapytań z jednego adresu IP albo innych równoważnych środków zapobiegających zautomatyzowanemu gromadzeniu danych</w:t>
            </w:r>
            <w:r>
              <w:rPr>
                <w:rFonts w:cstheme="minorHAnsi"/>
                <w:b/>
              </w:rPr>
              <w:t xml:space="preserve"> (art. 70 ust. 4)</w:t>
            </w:r>
            <w:r w:rsidRPr="00395C5B">
              <w:rPr>
                <w:rFonts w:cstheme="minorHAnsi"/>
                <w:b/>
              </w:rPr>
              <w:t>.</w:t>
            </w:r>
          </w:p>
          <w:p w14:paraId="1E9F8FE6" w14:textId="77777777" w:rsidR="000B75B6" w:rsidRDefault="000B75B6" w:rsidP="0042202B">
            <w:pPr>
              <w:rPr>
                <w:rFonts w:cstheme="minorHAnsi"/>
                <w:b/>
              </w:rPr>
            </w:pPr>
          </w:p>
          <w:p w14:paraId="791F4D46" w14:textId="77777777" w:rsidR="000B75B6" w:rsidRPr="005B3C61" w:rsidRDefault="000B75B6" w:rsidP="0042202B">
            <w:pPr>
              <w:rPr>
                <w:rFonts w:cstheme="minorHAnsi"/>
                <w:b/>
              </w:rPr>
            </w:pPr>
            <w:r w:rsidRPr="005B3C61">
              <w:rPr>
                <w:rFonts w:cstheme="minorHAnsi"/>
                <w:b/>
              </w:rPr>
              <w:t>Takie rozwiązania istnieją na stronach podmiotowych producentów Hyundai, Skoda, Volkswagen.</w:t>
            </w:r>
          </w:p>
          <w:p w14:paraId="5254D0AD" w14:textId="40E45ECE" w:rsidR="000B75B6" w:rsidRPr="00F82BCF" w:rsidRDefault="00000000" w:rsidP="0042202B">
            <w:pPr>
              <w:rPr>
                <w:rFonts w:cstheme="minorHAnsi"/>
                <w:b/>
              </w:rPr>
            </w:pPr>
            <w:hyperlink r:id="rId9" w:history="1">
              <w:r w:rsidR="000B75B6" w:rsidRPr="002B1220">
                <w:rPr>
                  <w:rFonts w:cstheme="minorHAnsi"/>
                  <w:u w:val="single"/>
                </w:rPr>
                <w:t>https://recallactions.skoda-auto.com/456/pl-pl</w:t>
              </w:r>
            </w:hyperlink>
            <w:r w:rsidR="000B75B6" w:rsidRPr="002B1220">
              <w:rPr>
                <w:rFonts w:cstheme="minorHAnsi"/>
              </w:rPr>
              <w:t xml:space="preserve">  </w:t>
            </w:r>
            <w:hyperlink r:id="rId10" w:history="1">
              <w:r w:rsidR="000B75B6" w:rsidRPr="002B1220">
                <w:rPr>
                  <w:rFonts w:cstheme="minorHAnsi"/>
                  <w:u w:val="single"/>
                </w:rPr>
                <w:t>https://www.hyundai.com/pl/pl/serwis/serwis-wsparcie/akcje-przywolawcze.html</w:t>
              </w:r>
            </w:hyperlink>
          </w:p>
        </w:tc>
        <w:tc>
          <w:tcPr>
            <w:tcW w:w="3686" w:type="dxa"/>
          </w:tcPr>
          <w:p w14:paraId="0E88134C" w14:textId="1B244702" w:rsidR="000B75B6" w:rsidRPr="00F82BCF" w:rsidRDefault="000B75B6" w:rsidP="0042202B">
            <w:pPr>
              <w:rPr>
                <w:rFonts w:cstheme="minorHAnsi"/>
                <w:b/>
              </w:rPr>
            </w:pPr>
            <w:r>
              <w:rPr>
                <w:rFonts w:cstheme="minorHAnsi"/>
                <w:b/>
              </w:rPr>
              <w:t xml:space="preserve">Akceptacja </w:t>
            </w:r>
          </w:p>
        </w:tc>
      </w:tr>
      <w:tr w:rsidR="000B75B6" w:rsidRPr="00F515D6" w14:paraId="4B42D003" w14:textId="1558FADE" w:rsidTr="00D76FE7">
        <w:tc>
          <w:tcPr>
            <w:tcW w:w="562" w:type="dxa"/>
          </w:tcPr>
          <w:p w14:paraId="2DBB2936" w14:textId="77777777" w:rsidR="000B75B6" w:rsidRPr="00485A6F" w:rsidRDefault="000B75B6" w:rsidP="0042202B">
            <w:pPr>
              <w:rPr>
                <w:rFonts w:cstheme="minorHAnsi"/>
                <w:b/>
              </w:rPr>
            </w:pPr>
            <w:r w:rsidRPr="00485A6F">
              <w:rPr>
                <w:rFonts w:cstheme="minorHAnsi"/>
                <w:b/>
              </w:rPr>
              <w:t>62</w:t>
            </w:r>
          </w:p>
        </w:tc>
        <w:tc>
          <w:tcPr>
            <w:tcW w:w="993" w:type="dxa"/>
          </w:tcPr>
          <w:p w14:paraId="393835BB" w14:textId="77777777" w:rsidR="000B75B6" w:rsidRDefault="000B75B6" w:rsidP="0042202B">
            <w:pPr>
              <w:rPr>
                <w:rFonts w:cstheme="minorHAnsi"/>
                <w:b/>
                <w:color w:val="00B050"/>
              </w:rPr>
            </w:pPr>
            <w:r w:rsidRPr="00485A6F">
              <w:rPr>
                <w:rFonts w:cstheme="minorHAnsi"/>
                <w:b/>
              </w:rPr>
              <w:t>MC</w:t>
            </w:r>
          </w:p>
          <w:p w14:paraId="6B2EEB2B" w14:textId="77777777" w:rsidR="000B75B6" w:rsidRDefault="000B75B6" w:rsidP="0042202B">
            <w:pPr>
              <w:rPr>
                <w:rFonts w:cstheme="minorHAnsi"/>
                <w:b/>
                <w:color w:val="00B050"/>
              </w:rPr>
            </w:pPr>
            <w:r>
              <w:rPr>
                <w:rFonts w:cstheme="minorHAnsi"/>
                <w:b/>
                <w:color w:val="00B050"/>
              </w:rPr>
              <w:t>+ uwaga 22 RCL i uwaga 31 MSWiA</w:t>
            </w:r>
          </w:p>
          <w:p w14:paraId="0028C108" w14:textId="4FA77AF7" w:rsidR="000B75B6" w:rsidRPr="00300DA1" w:rsidRDefault="000B75B6" w:rsidP="0042202B">
            <w:pPr>
              <w:rPr>
                <w:rFonts w:cstheme="minorHAnsi"/>
                <w:b/>
                <w:color w:val="00B050"/>
              </w:rPr>
            </w:pPr>
          </w:p>
        </w:tc>
        <w:tc>
          <w:tcPr>
            <w:tcW w:w="1701" w:type="dxa"/>
          </w:tcPr>
          <w:p w14:paraId="3681FD2A" w14:textId="79CCAB49" w:rsidR="000B75B6" w:rsidRPr="00485A6F" w:rsidRDefault="000B75B6" w:rsidP="0042202B">
            <w:pPr>
              <w:rPr>
                <w:rFonts w:eastAsia="Calibri" w:cstheme="minorHAnsi"/>
                <w:b/>
              </w:rPr>
            </w:pPr>
            <w:r w:rsidRPr="00485A6F">
              <w:rPr>
                <w:rFonts w:eastAsia="Calibri" w:cstheme="minorHAnsi"/>
                <w:b/>
              </w:rPr>
              <w:t xml:space="preserve">Art. 70 ust. 3 i 4 UH, art. 71 ust. 5b </w:t>
            </w:r>
            <w:r w:rsidRPr="00485A6F">
              <w:rPr>
                <w:rFonts w:cstheme="minorHAnsi"/>
                <w:b/>
              </w:rPr>
              <w:t xml:space="preserve"> PRD</w:t>
            </w:r>
          </w:p>
        </w:tc>
        <w:tc>
          <w:tcPr>
            <w:tcW w:w="5953" w:type="dxa"/>
          </w:tcPr>
          <w:p w14:paraId="33DA0303" w14:textId="77777777" w:rsidR="000B75B6" w:rsidRPr="00485A6F" w:rsidRDefault="000B75B6" w:rsidP="0042202B">
            <w:pPr>
              <w:rPr>
                <w:rFonts w:eastAsia="Calibri" w:cstheme="minorHAnsi"/>
                <w:b/>
              </w:rPr>
            </w:pPr>
            <w:r w:rsidRPr="00485A6F">
              <w:rPr>
                <w:rFonts w:eastAsia="Calibri" w:cstheme="minorHAnsi"/>
                <w:b/>
              </w:rPr>
              <w:t>Projektowane przepisy przewidują przekazywanie nowych kategorii danych osobowych do Centralnej Ewidencji Pojazdów (dane od Straży Granicznej) oraz udostępnianie tych danych do TDT (dane użytkowników końcowych na potrzeby akcji serwisowych). W żadnym z tych przypadków projekt ustawy nie reguluje, jak długo te dane mają być przechowywane przez podmioty, które je otrzymują.</w:t>
            </w:r>
          </w:p>
          <w:p w14:paraId="4DB24848" w14:textId="77777777" w:rsidR="000B75B6" w:rsidRPr="00485A6F" w:rsidRDefault="000B75B6" w:rsidP="0042202B">
            <w:pPr>
              <w:rPr>
                <w:rFonts w:eastAsia="Calibri" w:cstheme="minorHAnsi"/>
                <w:b/>
              </w:rPr>
            </w:pPr>
            <w:r w:rsidRPr="00485A6F">
              <w:rPr>
                <w:rFonts w:eastAsia="Calibri" w:cstheme="minorHAnsi"/>
                <w:b/>
              </w:rPr>
              <w:t>Brak uregulowania okresów retencji danych w projektowanej ustawie może stanowić naruszenie zasady ograniczenia przechowywania, określonej w art. 5 ust. 1 lit. e RODO, która stanowi, że dane osobowe muszą być „przechowywane w formie umożliwiającej identyfikację osoby, której dane dotyczą, przez okres nie dłuższy, niż jest to niezbędne do celów, w których dane te są przetwarzane”.</w:t>
            </w:r>
          </w:p>
          <w:p w14:paraId="4B8BC2DB" w14:textId="77777777" w:rsidR="000B75B6" w:rsidRPr="00485A6F" w:rsidRDefault="000B75B6" w:rsidP="0042202B">
            <w:pPr>
              <w:rPr>
                <w:rFonts w:eastAsia="Calibri" w:cstheme="minorHAnsi"/>
                <w:b/>
              </w:rPr>
            </w:pPr>
            <w:r w:rsidRPr="00485A6F">
              <w:rPr>
                <w:rFonts w:eastAsia="Calibri" w:cstheme="minorHAnsi"/>
                <w:b/>
              </w:rPr>
              <w:t>Dane od Straży Granicznej są zbierane w celu weryfikacji rocznego okresu pobytu pojazdu w Polsce. Po upływie tego okresu lub po zarejestrowaniu pojazdu w Polsce, dane te stają się zbędne dla pierwotnego celu. Ustawa powinna określać maksymalny okres ich przechowywania w Centralnej Ewidencji Pojazdów lub mechanizm ich usuwania/anonimizacji.</w:t>
            </w:r>
          </w:p>
          <w:p w14:paraId="7CE5846D" w14:textId="290DCC21" w:rsidR="000B75B6" w:rsidRPr="00485A6F" w:rsidRDefault="000B75B6" w:rsidP="0042202B">
            <w:pPr>
              <w:rPr>
                <w:rFonts w:eastAsia="Calibri" w:cstheme="minorHAnsi"/>
                <w:b/>
              </w:rPr>
            </w:pPr>
            <w:bookmarkStart w:id="46" w:name="_Hlk219891424"/>
            <w:r w:rsidRPr="00485A6F">
              <w:rPr>
                <w:rFonts w:eastAsia="Calibri" w:cstheme="minorHAnsi"/>
                <w:b/>
              </w:rPr>
              <w:t>TDT otrzymuje dane użytkowników końcowych w celu jednorazowego poinformowania ich o akcji serwisowej. Po zrealizowaniu tego celu (wysłaniu powiadomień i ewentualnym udokumentowaniu tego faktu), TDT nie ma uzasadnienia dla dalszego przechowywania tych danych. Proponuje się nałożenie na TDT obowiązku usunięcia lub anonimizacji pozyskanych danych po zakończeniu akcji informacyjnej.</w:t>
            </w:r>
            <w:bookmarkEnd w:id="46"/>
          </w:p>
        </w:tc>
        <w:tc>
          <w:tcPr>
            <w:tcW w:w="3827" w:type="dxa"/>
          </w:tcPr>
          <w:p w14:paraId="1BE7EA13" w14:textId="77777777" w:rsidR="000B75B6" w:rsidRDefault="000B75B6" w:rsidP="0042202B">
            <w:pPr>
              <w:rPr>
                <w:rFonts w:eastAsia="Calibri" w:cstheme="minorHAnsi"/>
                <w:b/>
              </w:rPr>
            </w:pPr>
            <w:r w:rsidRPr="00FB0596">
              <w:rPr>
                <w:rFonts w:eastAsia="Calibri" w:cstheme="minorHAnsi"/>
                <w:b/>
              </w:rPr>
              <w:t xml:space="preserve">Uwaga uwzględniona – wprowadzono przepis o obowiązku usuwania danych przez Dyrektora TDT. </w:t>
            </w:r>
          </w:p>
          <w:p w14:paraId="784D6649" w14:textId="77777777" w:rsidR="000B75B6" w:rsidRDefault="000B75B6" w:rsidP="0042202B">
            <w:pPr>
              <w:rPr>
                <w:rFonts w:eastAsia="Calibri" w:cstheme="minorHAnsi"/>
                <w:b/>
              </w:rPr>
            </w:pPr>
          </w:p>
          <w:p w14:paraId="23F2CDAA" w14:textId="17D9C5BA" w:rsidR="000B75B6" w:rsidRDefault="000B75B6" w:rsidP="0042202B">
            <w:pPr>
              <w:pStyle w:val="ZUSTzmustartykuempunktem"/>
              <w:spacing w:line="240" w:lineRule="auto"/>
              <w:ind w:left="0" w:firstLine="0"/>
              <w:jc w:val="left"/>
              <w:rPr>
                <w:rFonts w:asciiTheme="minorHAnsi" w:hAnsiTheme="minorHAnsi" w:cstheme="minorHAnsi"/>
                <w:b/>
                <w:i/>
                <w:sz w:val="22"/>
                <w:szCs w:val="22"/>
              </w:rPr>
            </w:pPr>
            <w:r>
              <w:rPr>
                <w:rFonts w:asciiTheme="minorHAnsi" w:eastAsia="Calibri" w:hAnsiTheme="minorHAnsi" w:cstheme="minorHAnsi"/>
                <w:b/>
                <w:i/>
                <w:sz w:val="22"/>
                <w:szCs w:val="22"/>
              </w:rPr>
              <w:t>„</w:t>
            </w:r>
            <w:r w:rsidRPr="001B04CC">
              <w:rPr>
                <w:rFonts w:asciiTheme="minorHAnsi" w:eastAsia="Calibri" w:hAnsiTheme="minorHAnsi" w:cstheme="minorHAnsi"/>
                <w:b/>
                <w:i/>
                <w:sz w:val="22"/>
                <w:szCs w:val="22"/>
              </w:rPr>
              <w:t>Art. 70 ust. 7. Dyrektor TDT jest obowiązany do usunięcia</w:t>
            </w:r>
            <w:r>
              <w:rPr>
                <w:rFonts w:eastAsia="Calibri" w:cstheme="minorHAnsi"/>
              </w:rPr>
              <w:t xml:space="preserve"> </w:t>
            </w:r>
            <w:r w:rsidRPr="00981780">
              <w:rPr>
                <w:rFonts w:asciiTheme="minorHAnsi" w:eastAsia="Calibri" w:hAnsiTheme="minorHAnsi" w:cstheme="minorHAnsi"/>
                <w:b/>
                <w:i/>
                <w:sz w:val="22"/>
                <w:szCs w:val="22"/>
              </w:rPr>
              <w:t>z systemów informatycznych</w:t>
            </w:r>
            <w:r w:rsidRPr="001B04CC">
              <w:rPr>
                <w:rFonts w:asciiTheme="minorHAnsi" w:eastAsia="Calibri" w:hAnsiTheme="minorHAnsi" w:cstheme="minorHAnsi"/>
                <w:b/>
                <w:i/>
                <w:sz w:val="22"/>
                <w:szCs w:val="22"/>
              </w:rPr>
              <w:t xml:space="preserve"> danych o </w:t>
            </w:r>
            <w:r w:rsidRPr="001B04CC">
              <w:rPr>
                <w:rFonts w:asciiTheme="minorHAnsi" w:hAnsiTheme="minorHAnsi" w:cstheme="minorHAnsi"/>
                <w:b/>
                <w:i/>
                <w:sz w:val="22"/>
                <w:szCs w:val="22"/>
              </w:rPr>
              <w:t>użytkownikach końcowych pojazdów, w odniesieniu do których została przeprowadzona akcja serwisowa, w terminie do końca pierwszego kwartału następnego roku</w:t>
            </w:r>
            <w:r>
              <w:rPr>
                <w:rFonts w:asciiTheme="minorHAnsi" w:hAnsiTheme="minorHAnsi" w:cstheme="minorHAnsi"/>
                <w:b/>
                <w:i/>
                <w:sz w:val="22"/>
                <w:szCs w:val="22"/>
              </w:rPr>
              <w:t>.”</w:t>
            </w:r>
          </w:p>
          <w:p w14:paraId="56064F87" w14:textId="77777777" w:rsidR="000B75B6" w:rsidRDefault="000B75B6" w:rsidP="0042202B">
            <w:pPr>
              <w:pStyle w:val="ZUSTzmustartykuempunktem"/>
              <w:spacing w:line="240" w:lineRule="auto"/>
              <w:ind w:left="0" w:firstLine="0"/>
              <w:jc w:val="left"/>
              <w:rPr>
                <w:rFonts w:eastAsia="Calibri" w:cstheme="minorHAnsi"/>
                <w:b/>
              </w:rPr>
            </w:pPr>
          </w:p>
          <w:p w14:paraId="4EE83D8F" w14:textId="44A8646D" w:rsidR="000B75B6" w:rsidRPr="00A74522" w:rsidRDefault="000B75B6" w:rsidP="0042202B">
            <w:pPr>
              <w:pStyle w:val="ZUSTzmustartykuempunktem"/>
              <w:spacing w:line="240" w:lineRule="auto"/>
              <w:ind w:left="0" w:firstLine="0"/>
              <w:jc w:val="left"/>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xml:space="preserve">W projekcie zrezygnowano z przekazywania </w:t>
            </w:r>
            <w:r w:rsidRPr="00A74522">
              <w:rPr>
                <w:rFonts w:asciiTheme="minorHAnsi" w:eastAsia="Calibri" w:hAnsiTheme="minorHAnsi" w:cstheme="minorHAnsi"/>
                <w:b/>
                <w:sz w:val="22"/>
                <w:szCs w:val="22"/>
                <w:lang w:eastAsia="en-US"/>
              </w:rPr>
              <w:t xml:space="preserve">przez Straż Graniczą </w:t>
            </w:r>
            <w:r>
              <w:rPr>
                <w:rFonts w:asciiTheme="minorHAnsi" w:eastAsia="Calibri" w:hAnsiTheme="minorHAnsi" w:cstheme="minorHAnsi"/>
                <w:b/>
                <w:sz w:val="22"/>
                <w:szCs w:val="22"/>
                <w:lang w:eastAsia="en-US"/>
              </w:rPr>
              <w:t xml:space="preserve">danych i informacji do </w:t>
            </w:r>
            <w:r w:rsidRPr="00A74522">
              <w:rPr>
                <w:rFonts w:asciiTheme="minorHAnsi" w:eastAsia="Calibri" w:hAnsiTheme="minorHAnsi" w:cstheme="minorHAnsi"/>
                <w:b/>
                <w:sz w:val="22"/>
                <w:szCs w:val="22"/>
                <w:lang w:eastAsia="en-US"/>
              </w:rPr>
              <w:t>centralnej ewidencji pojazdów.</w:t>
            </w:r>
          </w:p>
          <w:p w14:paraId="0C1636D9" w14:textId="0B218E28" w:rsidR="000B75B6" w:rsidRPr="00A74522" w:rsidRDefault="000B75B6" w:rsidP="0042202B">
            <w:pPr>
              <w:pStyle w:val="ZUSTzmustartykuempunktem"/>
              <w:spacing w:line="240" w:lineRule="auto"/>
              <w:ind w:left="0" w:firstLine="0"/>
              <w:jc w:val="left"/>
              <w:rPr>
                <w:rFonts w:eastAsia="Calibri" w:cstheme="minorHAnsi"/>
                <w:b/>
                <w:u w:val="single"/>
              </w:rPr>
            </w:pPr>
            <w:r>
              <w:rPr>
                <w:rFonts w:asciiTheme="minorHAnsi" w:eastAsia="Calibri" w:hAnsiTheme="minorHAnsi" w:cstheme="minorHAnsi"/>
                <w:b/>
                <w:sz w:val="22"/>
                <w:szCs w:val="22"/>
                <w:u w:val="single"/>
                <w:lang w:eastAsia="en-US"/>
              </w:rPr>
              <w:t>Dane i informacje będą udostępnianie przez straż graniczą bezpośrednio organom kontroli ruchu drogowego</w:t>
            </w:r>
            <w:r w:rsidRPr="00A74522">
              <w:rPr>
                <w:rFonts w:asciiTheme="minorHAnsi" w:eastAsia="Calibri" w:hAnsiTheme="minorHAnsi" w:cstheme="minorHAnsi"/>
                <w:b/>
                <w:sz w:val="22"/>
                <w:szCs w:val="22"/>
                <w:u w:val="single"/>
                <w:lang w:eastAsia="en-US"/>
              </w:rPr>
              <w:t>.</w:t>
            </w:r>
          </w:p>
        </w:tc>
        <w:tc>
          <w:tcPr>
            <w:tcW w:w="3686" w:type="dxa"/>
          </w:tcPr>
          <w:p w14:paraId="119CC93A" w14:textId="5F160BBF" w:rsidR="000B75B6" w:rsidRPr="00FB0596" w:rsidRDefault="000B75B6" w:rsidP="0042202B">
            <w:pPr>
              <w:rPr>
                <w:rFonts w:eastAsia="Calibri" w:cstheme="minorHAnsi"/>
                <w:b/>
              </w:rPr>
            </w:pPr>
            <w:r>
              <w:rPr>
                <w:rFonts w:eastAsia="Calibri" w:cstheme="minorHAnsi"/>
                <w:b/>
              </w:rPr>
              <w:t xml:space="preserve">Akceptacja </w:t>
            </w:r>
          </w:p>
        </w:tc>
      </w:tr>
      <w:tr w:rsidR="000B75B6" w:rsidRPr="00F515D6" w14:paraId="53E96558" w14:textId="46E080D9" w:rsidTr="00D76FE7">
        <w:tc>
          <w:tcPr>
            <w:tcW w:w="562" w:type="dxa"/>
          </w:tcPr>
          <w:p w14:paraId="5D32F13C" w14:textId="77777777" w:rsidR="000B75B6" w:rsidRPr="00A74522" w:rsidRDefault="000B75B6" w:rsidP="0042202B">
            <w:pPr>
              <w:rPr>
                <w:rFonts w:cstheme="minorHAnsi"/>
                <w:b/>
              </w:rPr>
            </w:pPr>
            <w:r w:rsidRPr="00A74522">
              <w:rPr>
                <w:rFonts w:cstheme="minorHAnsi"/>
                <w:b/>
              </w:rPr>
              <w:t>63</w:t>
            </w:r>
          </w:p>
        </w:tc>
        <w:tc>
          <w:tcPr>
            <w:tcW w:w="993" w:type="dxa"/>
          </w:tcPr>
          <w:p w14:paraId="065D6517" w14:textId="77777777" w:rsidR="000B75B6" w:rsidRPr="00A74522" w:rsidRDefault="000B75B6" w:rsidP="0042202B">
            <w:pPr>
              <w:rPr>
                <w:rFonts w:cstheme="minorHAnsi"/>
                <w:b/>
              </w:rPr>
            </w:pPr>
            <w:r w:rsidRPr="00A74522">
              <w:rPr>
                <w:rFonts w:cstheme="minorHAnsi"/>
                <w:b/>
              </w:rPr>
              <w:t>MC</w:t>
            </w:r>
          </w:p>
        </w:tc>
        <w:tc>
          <w:tcPr>
            <w:tcW w:w="1701" w:type="dxa"/>
          </w:tcPr>
          <w:p w14:paraId="47FBD21C" w14:textId="77777777" w:rsidR="000B75B6" w:rsidRPr="00A74522" w:rsidRDefault="000B75B6" w:rsidP="0042202B">
            <w:pPr>
              <w:rPr>
                <w:rFonts w:cstheme="minorHAnsi"/>
                <w:b/>
              </w:rPr>
            </w:pPr>
            <w:r w:rsidRPr="00A74522">
              <w:rPr>
                <w:rFonts w:cstheme="minorHAnsi"/>
                <w:b/>
              </w:rPr>
              <w:t>Art. 71 ust. 8 PRD</w:t>
            </w:r>
          </w:p>
        </w:tc>
        <w:tc>
          <w:tcPr>
            <w:tcW w:w="5953" w:type="dxa"/>
          </w:tcPr>
          <w:p w14:paraId="22B86333" w14:textId="77777777" w:rsidR="000B75B6" w:rsidRPr="00A74522" w:rsidRDefault="000B75B6" w:rsidP="0042202B">
            <w:pPr>
              <w:rPr>
                <w:rFonts w:cstheme="minorHAnsi"/>
                <w:b/>
              </w:rPr>
            </w:pPr>
            <w:r w:rsidRPr="00A74522">
              <w:rPr>
                <w:rFonts w:cstheme="minorHAnsi"/>
                <w:b/>
              </w:rPr>
              <w:t>Odesłanie zawarte w proponowanym przepisie nie powinno odnosić się do art. 73aa ust. 1b, lecz do art. 73aa ust. 1c ustawy - Prawo o ruchu drogowym, który mówi o miejscu stałego zamieszkania.</w:t>
            </w:r>
          </w:p>
          <w:p w14:paraId="16C26C01" w14:textId="35C3868E" w:rsidR="000B75B6" w:rsidRPr="00A74522" w:rsidRDefault="000B75B6" w:rsidP="0042202B">
            <w:pPr>
              <w:rPr>
                <w:rFonts w:cstheme="minorHAnsi"/>
                <w:b/>
                <w:i/>
              </w:rPr>
            </w:pPr>
            <w:r w:rsidRPr="00A74522">
              <w:rPr>
                <w:rFonts w:cstheme="minorHAnsi"/>
                <w:b/>
                <w:i/>
              </w:rPr>
              <w:t>„8. Minister właściwy do spraw wewnętrznych, w porozumieniu z ministrem właściwym do spraw transportu, ministrem właściwym do spraw informatyzacji oraz ministrem właściwym do spraw finansów publicznych i instytucji finansowych określi, w drodze rozporządzenia, sposób weryfikacji przez organy rejestrujące pojazdy miejsca stałego zamieszkania, o którym mowa w art. 73aa ust. 1c ustawy, z uwzględnieniem innych baz i rejestrów, w których gromadzone są dane o obcokrajowcach.”.</w:t>
            </w:r>
          </w:p>
        </w:tc>
        <w:tc>
          <w:tcPr>
            <w:tcW w:w="3827" w:type="dxa"/>
          </w:tcPr>
          <w:p w14:paraId="3BB618FD" w14:textId="297519C9" w:rsidR="000B75B6" w:rsidRPr="00A74522" w:rsidRDefault="000B75B6" w:rsidP="0042202B">
            <w:pPr>
              <w:rPr>
                <w:rFonts w:cstheme="minorHAnsi"/>
                <w:b/>
              </w:rPr>
            </w:pPr>
            <w:r w:rsidRPr="00A74522">
              <w:rPr>
                <w:rFonts w:cstheme="minorHAnsi"/>
                <w:b/>
              </w:rPr>
              <w:t>W związku z uwagami MSWiA oraz zaproponowanymi zmianami zrezygnowano z</w:t>
            </w:r>
            <w:r w:rsidRPr="00A74522">
              <w:rPr>
                <w:b/>
              </w:rPr>
              <w:t xml:space="preserve"> </w:t>
            </w:r>
            <w:r w:rsidRPr="00A74522">
              <w:rPr>
                <w:rFonts w:cstheme="minorHAnsi"/>
                <w:b/>
              </w:rPr>
              <w:t>przepis</w:t>
            </w:r>
            <w:r>
              <w:rPr>
                <w:rFonts w:cstheme="minorHAnsi"/>
                <w:b/>
              </w:rPr>
              <w:t>ów</w:t>
            </w:r>
            <w:r w:rsidRPr="00A74522">
              <w:rPr>
                <w:rFonts w:cstheme="minorHAnsi"/>
                <w:b/>
              </w:rPr>
              <w:t xml:space="preserve"> upoważniając</w:t>
            </w:r>
            <w:r>
              <w:rPr>
                <w:rFonts w:cstheme="minorHAnsi"/>
                <w:b/>
              </w:rPr>
              <w:t>ych</w:t>
            </w:r>
            <w:r w:rsidRPr="00A74522">
              <w:rPr>
                <w:rFonts w:cstheme="minorHAnsi"/>
                <w:b/>
              </w:rPr>
              <w:t xml:space="preserve"> dodawan</w:t>
            </w:r>
            <w:r>
              <w:rPr>
                <w:rFonts w:cstheme="minorHAnsi"/>
                <w:b/>
              </w:rPr>
              <w:t>ych</w:t>
            </w:r>
            <w:r w:rsidRPr="00A74522">
              <w:rPr>
                <w:rFonts w:cstheme="minorHAnsi"/>
                <w:b/>
              </w:rPr>
              <w:t xml:space="preserve"> do art. 71 w ust. 8</w:t>
            </w:r>
            <w:r>
              <w:rPr>
                <w:rFonts w:cstheme="minorHAnsi"/>
                <w:b/>
              </w:rPr>
              <w:t xml:space="preserve"> i 9</w:t>
            </w:r>
            <w:r w:rsidRPr="00A74522">
              <w:rPr>
                <w:rFonts w:cstheme="minorHAnsi"/>
                <w:b/>
              </w:rPr>
              <w:t xml:space="preserve">. </w:t>
            </w:r>
          </w:p>
        </w:tc>
        <w:tc>
          <w:tcPr>
            <w:tcW w:w="3686" w:type="dxa"/>
          </w:tcPr>
          <w:p w14:paraId="2DBBE950" w14:textId="030BA8BE" w:rsidR="000B75B6" w:rsidRPr="00A74522" w:rsidRDefault="000B75B6" w:rsidP="0042202B">
            <w:pPr>
              <w:rPr>
                <w:rFonts w:cstheme="minorHAnsi"/>
                <w:b/>
              </w:rPr>
            </w:pPr>
            <w:r>
              <w:rPr>
                <w:rFonts w:cstheme="minorHAnsi"/>
                <w:b/>
              </w:rPr>
              <w:t xml:space="preserve">Akceptacja </w:t>
            </w:r>
          </w:p>
        </w:tc>
      </w:tr>
      <w:tr w:rsidR="000B75B6" w:rsidRPr="00A74522" w14:paraId="058B32A1" w14:textId="1CF26BCB" w:rsidTr="00D76FE7">
        <w:tc>
          <w:tcPr>
            <w:tcW w:w="562" w:type="dxa"/>
          </w:tcPr>
          <w:p w14:paraId="3BE1CD17" w14:textId="77777777" w:rsidR="000B75B6" w:rsidRPr="00A74522" w:rsidRDefault="000B75B6" w:rsidP="0042202B">
            <w:pPr>
              <w:rPr>
                <w:rFonts w:cstheme="minorHAnsi"/>
                <w:b/>
              </w:rPr>
            </w:pPr>
            <w:r w:rsidRPr="00A74522">
              <w:rPr>
                <w:rFonts w:cstheme="minorHAnsi"/>
                <w:b/>
              </w:rPr>
              <w:t>64</w:t>
            </w:r>
          </w:p>
        </w:tc>
        <w:tc>
          <w:tcPr>
            <w:tcW w:w="993" w:type="dxa"/>
          </w:tcPr>
          <w:p w14:paraId="6085C950" w14:textId="77777777" w:rsidR="000B75B6" w:rsidRPr="00A74522" w:rsidRDefault="000B75B6" w:rsidP="0042202B">
            <w:pPr>
              <w:rPr>
                <w:rFonts w:cstheme="minorHAnsi"/>
                <w:b/>
              </w:rPr>
            </w:pPr>
            <w:r w:rsidRPr="00A74522">
              <w:rPr>
                <w:rFonts w:cstheme="minorHAnsi"/>
                <w:b/>
              </w:rPr>
              <w:t>MC</w:t>
            </w:r>
          </w:p>
        </w:tc>
        <w:tc>
          <w:tcPr>
            <w:tcW w:w="1701" w:type="dxa"/>
          </w:tcPr>
          <w:p w14:paraId="0788F9BA" w14:textId="77777777" w:rsidR="000B75B6" w:rsidRPr="00A74522" w:rsidRDefault="000B75B6" w:rsidP="0042202B">
            <w:pPr>
              <w:rPr>
                <w:rFonts w:cstheme="minorHAnsi"/>
                <w:b/>
              </w:rPr>
            </w:pPr>
            <w:r w:rsidRPr="00A74522">
              <w:rPr>
                <w:rFonts w:cstheme="minorHAnsi"/>
                <w:b/>
              </w:rPr>
              <w:t>Art. 71 ust. 8  PRD</w:t>
            </w:r>
          </w:p>
        </w:tc>
        <w:tc>
          <w:tcPr>
            <w:tcW w:w="5953" w:type="dxa"/>
          </w:tcPr>
          <w:p w14:paraId="2CE10B1F" w14:textId="77777777" w:rsidR="000B75B6" w:rsidRPr="00A74522" w:rsidRDefault="000B75B6" w:rsidP="0042202B">
            <w:pPr>
              <w:rPr>
                <w:rFonts w:cstheme="minorHAnsi"/>
                <w:b/>
              </w:rPr>
            </w:pPr>
            <w:r w:rsidRPr="00A74522">
              <w:rPr>
                <w:rFonts w:cstheme="minorHAnsi"/>
                <w:b/>
              </w:rPr>
              <w:t>Proponuje się doprecyzowanie w jaki sposób ma być realizowana weryfikacja adresu zamieszkania oraz z jakich rejestrów dane mogą być pozyskiwane. Jeśli weryfikacja ma opierać się również na danych z rejestru PESEL, to należy zauważyć, że w katalogu danych gromadzonych tym w rejestrze odnotowywane są adresy zameldowania na pobyt stały i czasowy, a nie zamieszkania (art. 8 pkt 14 i 18 ustawy z dnia 24 września 2010 r. o ewidencji ludności).</w:t>
            </w:r>
          </w:p>
          <w:p w14:paraId="507460BA" w14:textId="77777777" w:rsidR="000B75B6" w:rsidRPr="00A74522" w:rsidRDefault="000B75B6" w:rsidP="0042202B">
            <w:pPr>
              <w:rPr>
                <w:rFonts w:cstheme="minorHAnsi"/>
                <w:b/>
              </w:rPr>
            </w:pPr>
            <w:r w:rsidRPr="00A74522">
              <w:rPr>
                <w:rFonts w:cstheme="minorHAnsi"/>
                <w:b/>
              </w:rPr>
              <w:t>Ponadto, zgodnie z art. 24 ww. ustawy,  obywatel polski przebywający na terytorium RP jest obowiązany wykonać określony w niej obowiązek meldunkowy. Obowiązek meldunkowy dotyczy też cudzoziemców (art. 40 i 41 ustawy).</w:t>
            </w:r>
          </w:p>
          <w:p w14:paraId="1BAFAFD1" w14:textId="536A72D0" w:rsidR="000B75B6" w:rsidRPr="00A74522" w:rsidRDefault="000B75B6" w:rsidP="0042202B">
            <w:pPr>
              <w:rPr>
                <w:rFonts w:cstheme="minorHAnsi"/>
                <w:b/>
              </w:rPr>
            </w:pPr>
            <w:r w:rsidRPr="00A74522">
              <w:rPr>
                <w:rFonts w:cstheme="minorHAnsi"/>
                <w:b/>
              </w:rPr>
              <w:t>Jeśli zamiarem projektodawcy jest przyznanie organom rejestrującym uprawnienia do weryfikacji danych adresowych w rejestrze PESEL, konieczne będzie zmodyfikowanie proponowanej regulacji poprzez zmianę adresu zamieszkania na adres zameldowania.</w:t>
            </w:r>
          </w:p>
        </w:tc>
        <w:tc>
          <w:tcPr>
            <w:tcW w:w="3827" w:type="dxa"/>
          </w:tcPr>
          <w:p w14:paraId="3DF89C26" w14:textId="46AB3445" w:rsidR="000B75B6" w:rsidRPr="00A74522" w:rsidRDefault="000B75B6" w:rsidP="0042202B">
            <w:pPr>
              <w:rPr>
                <w:rFonts w:cstheme="minorHAnsi"/>
                <w:b/>
              </w:rPr>
            </w:pPr>
            <w:r w:rsidRPr="00A74522">
              <w:rPr>
                <w:rFonts w:cstheme="minorHAnsi"/>
                <w:b/>
              </w:rPr>
              <w:t>W związku z uwagami MSWiA oraz zaproponowanymi zmianami zrezygnowano z przepis</w:t>
            </w:r>
            <w:r>
              <w:rPr>
                <w:rFonts w:cstheme="minorHAnsi"/>
                <w:b/>
              </w:rPr>
              <w:t xml:space="preserve">ów </w:t>
            </w:r>
            <w:r w:rsidRPr="00A74522">
              <w:rPr>
                <w:rFonts w:cstheme="minorHAnsi"/>
                <w:b/>
              </w:rPr>
              <w:t>upoważniając</w:t>
            </w:r>
            <w:r>
              <w:rPr>
                <w:rFonts w:cstheme="minorHAnsi"/>
                <w:b/>
              </w:rPr>
              <w:t>ych</w:t>
            </w:r>
            <w:r w:rsidRPr="00A74522">
              <w:rPr>
                <w:rFonts w:cstheme="minorHAnsi"/>
                <w:b/>
              </w:rPr>
              <w:t xml:space="preserve"> dodawan</w:t>
            </w:r>
            <w:r>
              <w:rPr>
                <w:rFonts w:cstheme="minorHAnsi"/>
                <w:b/>
              </w:rPr>
              <w:t>ych</w:t>
            </w:r>
            <w:r w:rsidRPr="00A74522">
              <w:rPr>
                <w:rFonts w:cstheme="minorHAnsi"/>
                <w:b/>
              </w:rPr>
              <w:t xml:space="preserve"> do art. 71 w ust. 8</w:t>
            </w:r>
            <w:r>
              <w:rPr>
                <w:rFonts w:cstheme="minorHAnsi"/>
                <w:b/>
              </w:rPr>
              <w:t xml:space="preserve"> i 9</w:t>
            </w:r>
            <w:r w:rsidRPr="00A74522">
              <w:rPr>
                <w:rFonts w:cstheme="minorHAnsi"/>
                <w:b/>
              </w:rPr>
              <w:t>.</w:t>
            </w:r>
          </w:p>
        </w:tc>
        <w:tc>
          <w:tcPr>
            <w:tcW w:w="3686" w:type="dxa"/>
          </w:tcPr>
          <w:p w14:paraId="1B1E1A66" w14:textId="40475FC8" w:rsidR="000B75B6" w:rsidRPr="00A74522" w:rsidRDefault="000B75B6" w:rsidP="0042202B">
            <w:pPr>
              <w:rPr>
                <w:rFonts w:cstheme="minorHAnsi"/>
                <w:b/>
              </w:rPr>
            </w:pPr>
            <w:r>
              <w:rPr>
                <w:rFonts w:cstheme="minorHAnsi"/>
                <w:b/>
              </w:rPr>
              <w:t xml:space="preserve">Akceptacja </w:t>
            </w:r>
          </w:p>
        </w:tc>
      </w:tr>
      <w:tr w:rsidR="000B75B6" w:rsidRPr="005A611F" w14:paraId="5EED6718" w14:textId="6CE771C0" w:rsidTr="00D76FE7">
        <w:tc>
          <w:tcPr>
            <w:tcW w:w="562" w:type="dxa"/>
          </w:tcPr>
          <w:p w14:paraId="4821EF47" w14:textId="77777777" w:rsidR="000B75B6" w:rsidRPr="005A611F" w:rsidRDefault="000B75B6" w:rsidP="0042202B">
            <w:pPr>
              <w:rPr>
                <w:rFonts w:cstheme="minorHAnsi"/>
                <w:b/>
              </w:rPr>
            </w:pPr>
            <w:r w:rsidRPr="005A611F">
              <w:rPr>
                <w:rFonts w:cstheme="minorHAnsi"/>
                <w:b/>
              </w:rPr>
              <w:t>65</w:t>
            </w:r>
          </w:p>
        </w:tc>
        <w:tc>
          <w:tcPr>
            <w:tcW w:w="993" w:type="dxa"/>
          </w:tcPr>
          <w:p w14:paraId="58E557C0" w14:textId="77777777" w:rsidR="000B75B6" w:rsidRPr="005A611F" w:rsidRDefault="000B75B6" w:rsidP="0042202B">
            <w:pPr>
              <w:rPr>
                <w:rFonts w:cstheme="minorHAnsi"/>
                <w:b/>
              </w:rPr>
            </w:pPr>
            <w:r w:rsidRPr="005A611F">
              <w:rPr>
                <w:rFonts w:cstheme="minorHAnsi"/>
                <w:b/>
              </w:rPr>
              <w:t>MC</w:t>
            </w:r>
          </w:p>
        </w:tc>
        <w:tc>
          <w:tcPr>
            <w:tcW w:w="1701" w:type="dxa"/>
          </w:tcPr>
          <w:p w14:paraId="71643C3C" w14:textId="77777777" w:rsidR="000B75B6" w:rsidRPr="005A611F" w:rsidRDefault="000B75B6" w:rsidP="0042202B">
            <w:pPr>
              <w:rPr>
                <w:rFonts w:cstheme="minorHAnsi"/>
                <w:b/>
              </w:rPr>
            </w:pPr>
            <w:r w:rsidRPr="005A611F">
              <w:rPr>
                <w:rFonts w:cstheme="minorHAnsi"/>
                <w:b/>
              </w:rPr>
              <w:t>Art. 72 ust. 1 PRD</w:t>
            </w:r>
          </w:p>
        </w:tc>
        <w:tc>
          <w:tcPr>
            <w:tcW w:w="5953" w:type="dxa"/>
          </w:tcPr>
          <w:p w14:paraId="2D67C1AF" w14:textId="77777777" w:rsidR="000B75B6" w:rsidRPr="005A611F" w:rsidRDefault="000B75B6" w:rsidP="0042202B">
            <w:pPr>
              <w:rPr>
                <w:rFonts w:cstheme="minorHAnsi"/>
                <w:b/>
              </w:rPr>
            </w:pPr>
            <w:r w:rsidRPr="005A611F">
              <w:rPr>
                <w:rFonts w:cstheme="minorHAnsi"/>
                <w:b/>
              </w:rPr>
              <w:t>Nieprawidłowe odesłanie do pkt 2 lit. c, przepis powinien odsyłać do pkt 3 lit. c.</w:t>
            </w:r>
          </w:p>
          <w:p w14:paraId="29F57D0A" w14:textId="77777777" w:rsidR="000B75B6" w:rsidRPr="005A611F" w:rsidRDefault="000B75B6" w:rsidP="0042202B">
            <w:pPr>
              <w:rPr>
                <w:rFonts w:cstheme="minorHAnsi"/>
                <w:b/>
                <w:i/>
              </w:rPr>
            </w:pPr>
            <w:r w:rsidRPr="005A611F">
              <w:rPr>
                <w:rFonts w:cstheme="minorHAnsi"/>
                <w:b/>
                <w:i/>
              </w:rPr>
              <w:t>„b) w ust. 1 w pkt 3 lit. c otrzymuje brzmienie:”.</w:t>
            </w:r>
          </w:p>
          <w:p w14:paraId="007E2208" w14:textId="77F5C0E1" w:rsidR="000B75B6" w:rsidRPr="005A611F" w:rsidRDefault="000B75B6" w:rsidP="0042202B">
            <w:pPr>
              <w:rPr>
                <w:rFonts w:cstheme="minorHAnsi"/>
                <w:b/>
                <w:i/>
              </w:rPr>
            </w:pPr>
          </w:p>
        </w:tc>
        <w:tc>
          <w:tcPr>
            <w:tcW w:w="3827" w:type="dxa"/>
          </w:tcPr>
          <w:p w14:paraId="01EC3D04" w14:textId="6877A827" w:rsidR="000B75B6" w:rsidRPr="005A611F" w:rsidRDefault="000B75B6" w:rsidP="0042202B">
            <w:pPr>
              <w:rPr>
                <w:rFonts w:cstheme="minorHAnsi"/>
                <w:b/>
              </w:rPr>
            </w:pPr>
            <w:r>
              <w:rPr>
                <w:rFonts w:cstheme="minorHAnsi"/>
                <w:b/>
              </w:rPr>
              <w:t xml:space="preserve">Przepis wykreślony.  </w:t>
            </w:r>
          </w:p>
        </w:tc>
        <w:tc>
          <w:tcPr>
            <w:tcW w:w="3686" w:type="dxa"/>
          </w:tcPr>
          <w:p w14:paraId="0603C385" w14:textId="7D2225E2" w:rsidR="000B75B6" w:rsidRDefault="000B75B6" w:rsidP="0042202B">
            <w:pPr>
              <w:rPr>
                <w:rFonts w:cstheme="minorHAnsi"/>
                <w:b/>
              </w:rPr>
            </w:pPr>
            <w:r>
              <w:rPr>
                <w:rFonts w:cstheme="minorHAnsi"/>
                <w:b/>
              </w:rPr>
              <w:t xml:space="preserve">Akceptacja </w:t>
            </w:r>
          </w:p>
        </w:tc>
      </w:tr>
      <w:tr w:rsidR="000B75B6" w:rsidRPr="00F515D6" w14:paraId="152D9173" w14:textId="59708707" w:rsidTr="00D76FE7">
        <w:tc>
          <w:tcPr>
            <w:tcW w:w="562" w:type="dxa"/>
          </w:tcPr>
          <w:p w14:paraId="5498E23D" w14:textId="77777777" w:rsidR="000B75B6" w:rsidRPr="000B75B6" w:rsidRDefault="000B75B6" w:rsidP="0042202B">
            <w:pPr>
              <w:rPr>
                <w:rFonts w:cstheme="minorHAnsi"/>
                <w:b/>
              </w:rPr>
            </w:pPr>
            <w:r w:rsidRPr="000B75B6">
              <w:rPr>
                <w:rFonts w:cstheme="minorHAnsi"/>
                <w:b/>
              </w:rPr>
              <w:t>66</w:t>
            </w:r>
          </w:p>
        </w:tc>
        <w:tc>
          <w:tcPr>
            <w:tcW w:w="993" w:type="dxa"/>
          </w:tcPr>
          <w:p w14:paraId="082C1994" w14:textId="77777777" w:rsidR="000B75B6" w:rsidRPr="000B75B6" w:rsidRDefault="000B75B6" w:rsidP="0042202B">
            <w:pPr>
              <w:rPr>
                <w:rFonts w:cstheme="minorHAnsi"/>
                <w:b/>
              </w:rPr>
            </w:pPr>
            <w:r w:rsidRPr="000B75B6">
              <w:rPr>
                <w:rFonts w:cstheme="minorHAnsi"/>
                <w:b/>
              </w:rPr>
              <w:t>MC</w:t>
            </w:r>
          </w:p>
        </w:tc>
        <w:tc>
          <w:tcPr>
            <w:tcW w:w="1701" w:type="dxa"/>
          </w:tcPr>
          <w:p w14:paraId="1EDDE6F5" w14:textId="77777777" w:rsidR="000B75B6" w:rsidRPr="000B75B6" w:rsidRDefault="000B75B6" w:rsidP="0042202B">
            <w:pPr>
              <w:rPr>
                <w:rFonts w:cstheme="minorHAnsi"/>
                <w:b/>
              </w:rPr>
            </w:pPr>
            <w:r w:rsidRPr="000B75B6">
              <w:rPr>
                <w:rFonts w:cstheme="minorHAnsi"/>
                <w:b/>
              </w:rPr>
              <w:t>Art. 72 ust. 2  PRD</w:t>
            </w:r>
          </w:p>
        </w:tc>
        <w:tc>
          <w:tcPr>
            <w:tcW w:w="5953" w:type="dxa"/>
          </w:tcPr>
          <w:p w14:paraId="7DA2A687" w14:textId="77777777" w:rsidR="000B75B6" w:rsidRPr="000B75B6" w:rsidRDefault="000B75B6" w:rsidP="0042202B">
            <w:pPr>
              <w:rPr>
                <w:rFonts w:cstheme="minorHAnsi"/>
                <w:b/>
              </w:rPr>
            </w:pPr>
            <w:r w:rsidRPr="000B75B6">
              <w:rPr>
                <w:rFonts w:cstheme="minorHAnsi"/>
                <w:b/>
              </w:rPr>
              <w:t>Z katalogu pojazdów, o których mowa w art. 72 ust. 2, ustawodawca wyłączył pojazdy zakupione po przepadku na rzecz Skarbu Państwa lub na rzecz jednostki samorządu terytorialnego. W konsekwencji ww. wyłączenia, w sytuacji wnioskowania o rejestrację pojazdu zakupionego po przepadku, właściciel będzie zobowiązany do przedłożenia dowodu rejestracyjnego, jeżeli pojazd był zarejestrowany, co w większości przypadków nie będzie możliwe do zrealizowania, ponieważ zazwyczaj pojazdy przejmowane są bez jakichkolwiek dokumentów, w szczególności dowodu rejestracyjnego. Uzasadnienie oraz OSR nie zawiera w tym zakresie żadnych informacji.</w:t>
            </w:r>
          </w:p>
          <w:p w14:paraId="41F21494" w14:textId="49CAA181" w:rsidR="000B75B6" w:rsidRPr="000B75B6" w:rsidRDefault="000B75B6" w:rsidP="0042202B">
            <w:pPr>
              <w:rPr>
                <w:rFonts w:cstheme="minorHAnsi"/>
                <w:b/>
              </w:rPr>
            </w:pPr>
          </w:p>
        </w:tc>
        <w:tc>
          <w:tcPr>
            <w:tcW w:w="3827" w:type="dxa"/>
          </w:tcPr>
          <w:p w14:paraId="6C6836F9" w14:textId="7FF88FFA" w:rsidR="000B75B6" w:rsidRPr="005A611F" w:rsidRDefault="000B75B6" w:rsidP="0042202B">
            <w:pPr>
              <w:rPr>
                <w:rFonts w:cstheme="minorHAnsi"/>
                <w:b/>
              </w:rPr>
            </w:pPr>
            <w:r w:rsidRPr="005A611F">
              <w:rPr>
                <w:rFonts w:cstheme="minorHAnsi"/>
                <w:b/>
              </w:rPr>
              <w:t xml:space="preserve">Uwaga uwzględniona. </w:t>
            </w:r>
          </w:p>
          <w:p w14:paraId="4AE9A78E" w14:textId="7DB8654C" w:rsidR="000B75B6" w:rsidRPr="005A611F" w:rsidRDefault="000B75B6" w:rsidP="0042202B">
            <w:pPr>
              <w:rPr>
                <w:rFonts w:cstheme="minorHAnsi"/>
                <w:b/>
              </w:rPr>
            </w:pPr>
            <w:r w:rsidRPr="005A611F">
              <w:rPr>
                <w:rFonts w:cstheme="minorHAnsi"/>
                <w:b/>
              </w:rPr>
              <w:t>Proponowane brzmienie ust. 2</w:t>
            </w:r>
            <w:r>
              <w:rPr>
                <w:rFonts w:cstheme="minorHAnsi"/>
                <w:b/>
              </w:rPr>
              <w:t>:</w:t>
            </w:r>
          </w:p>
          <w:p w14:paraId="74F12332" w14:textId="4D745AEA" w:rsidR="000B75B6" w:rsidRPr="005A611F" w:rsidRDefault="000B75B6" w:rsidP="0042202B">
            <w:pPr>
              <w:rPr>
                <w:rFonts w:cstheme="minorHAnsi"/>
                <w:b/>
                <w:i/>
              </w:rPr>
            </w:pPr>
            <w:r w:rsidRPr="005A611F">
              <w:rPr>
                <w:rFonts w:cstheme="minorHAnsi"/>
                <w:b/>
                <w:i/>
              </w:rPr>
              <w:t>„</w:t>
            </w:r>
            <w:bookmarkStart w:id="47" w:name="_Hlk219122919"/>
            <w:r w:rsidRPr="005A611F">
              <w:rPr>
                <w:rFonts w:cstheme="minorHAnsi"/>
                <w:b/>
                <w:i/>
              </w:rPr>
              <w:t>2. Wymagania ust. 1 nie dotyczą:</w:t>
            </w:r>
          </w:p>
          <w:p w14:paraId="61E01C57" w14:textId="77777777" w:rsidR="000B75B6" w:rsidRPr="005A611F" w:rsidRDefault="000B75B6" w:rsidP="0042202B">
            <w:pPr>
              <w:ind w:left="324" w:hanging="324"/>
              <w:rPr>
                <w:rFonts w:cstheme="minorHAnsi"/>
                <w:b/>
                <w:i/>
              </w:rPr>
            </w:pPr>
            <w:r w:rsidRPr="005A611F">
              <w:rPr>
                <w:rFonts w:cstheme="minorHAnsi"/>
                <w:b/>
                <w:i/>
              </w:rPr>
              <w:t>1)</w:t>
            </w:r>
            <w:r w:rsidRPr="005A611F">
              <w:rPr>
                <w:rFonts w:cstheme="minorHAnsi"/>
                <w:b/>
                <w:i/>
              </w:rPr>
              <w:tab/>
              <w:t>pojazdu, który był już zarejestrowany na terytorium Rzeczypospolitej Polskiej i od ostatniej rejestracji nie nastąpiła zmiana właściciela tego pojazdu, w przypadku gdy przerejestrowanie pojazdu jest dokonywane na wniosek właściciela tego pojazdu w związku ze zmianą jego miejsca zamieszkania (siedziby) – w zakresie dowodu własności pojazdu, o którym mowa w ust. 1 pkt 1;</w:t>
            </w:r>
          </w:p>
          <w:p w14:paraId="6DAC1FA0" w14:textId="77777777" w:rsidR="000B75B6" w:rsidRPr="005A611F" w:rsidRDefault="000B75B6" w:rsidP="0042202B">
            <w:pPr>
              <w:ind w:left="324" w:hanging="324"/>
              <w:rPr>
                <w:rFonts w:cstheme="minorHAnsi"/>
                <w:b/>
                <w:i/>
              </w:rPr>
            </w:pPr>
            <w:r w:rsidRPr="005A611F">
              <w:rPr>
                <w:rFonts w:cstheme="minorHAnsi"/>
                <w:b/>
                <w:i/>
              </w:rPr>
              <w:t>2)</w:t>
            </w:r>
            <w:r w:rsidRPr="005A611F">
              <w:rPr>
                <w:rFonts w:cstheme="minorHAnsi"/>
                <w:b/>
                <w:i/>
              </w:rPr>
              <w:tab/>
              <w:t>pojazdu zakupionego po przepadku na rzecz Skarbu Państwa lub na rzecz jednostki samorządu terytorialnego - w zakresie ust. 1 pkt 8;</w:t>
            </w:r>
          </w:p>
          <w:p w14:paraId="7F463E26" w14:textId="77777777" w:rsidR="000B75B6" w:rsidRPr="005A611F" w:rsidRDefault="000B75B6" w:rsidP="0042202B">
            <w:pPr>
              <w:ind w:left="324" w:hanging="324"/>
              <w:rPr>
                <w:rFonts w:cstheme="minorHAnsi"/>
                <w:b/>
                <w:i/>
              </w:rPr>
            </w:pPr>
            <w:r w:rsidRPr="005A611F">
              <w:rPr>
                <w:rFonts w:cstheme="minorHAnsi"/>
                <w:b/>
                <w:i/>
              </w:rPr>
              <w:t>3)</w:t>
            </w:r>
            <w:r w:rsidRPr="005A611F">
              <w:rPr>
                <w:rFonts w:cstheme="minorHAnsi"/>
                <w:b/>
                <w:i/>
              </w:rPr>
              <w:tab/>
              <w:t>pojazdu, którego własność przeszła na gminę na podstawie art. 50a ust. 2 zdanie drugie – w zakresie ust. 1 pkt 8;</w:t>
            </w:r>
          </w:p>
          <w:p w14:paraId="44CB2FEA" w14:textId="77777777" w:rsidR="000B75B6" w:rsidRPr="005A611F" w:rsidRDefault="000B75B6" w:rsidP="0042202B">
            <w:pPr>
              <w:ind w:left="324" w:hanging="324"/>
              <w:rPr>
                <w:rFonts w:cstheme="minorHAnsi"/>
                <w:b/>
                <w:i/>
              </w:rPr>
            </w:pPr>
            <w:r w:rsidRPr="005A611F">
              <w:rPr>
                <w:rFonts w:cstheme="minorHAnsi"/>
                <w:b/>
                <w:i/>
              </w:rPr>
              <w:t>4)</w:t>
            </w:r>
            <w:r w:rsidRPr="005A611F">
              <w:rPr>
                <w:rFonts w:cstheme="minorHAnsi"/>
                <w:b/>
                <w:i/>
              </w:rPr>
              <w:tab/>
              <w:t>pojazdu, wobec którego sąd orzekł przepadek na rzecz powiatu w związku z wnioskiem, o którym mowa w art. 130a ust. 10 zdanie pierwsze – w zakresie ust. 1 pkt 8;</w:t>
            </w:r>
          </w:p>
          <w:p w14:paraId="41FA0471" w14:textId="77777777" w:rsidR="000B75B6" w:rsidRPr="005A611F" w:rsidRDefault="000B75B6" w:rsidP="0042202B">
            <w:pPr>
              <w:ind w:left="324" w:hanging="324"/>
              <w:rPr>
                <w:rFonts w:cstheme="minorHAnsi"/>
                <w:b/>
                <w:i/>
              </w:rPr>
            </w:pPr>
            <w:r w:rsidRPr="005A611F">
              <w:rPr>
                <w:rFonts w:cstheme="minorHAnsi"/>
                <w:b/>
                <w:i/>
              </w:rPr>
              <w:t>5)</w:t>
            </w:r>
            <w:r w:rsidRPr="005A611F">
              <w:rPr>
                <w:rFonts w:cstheme="minorHAnsi"/>
                <w:b/>
                <w:i/>
              </w:rPr>
              <w:tab/>
              <w:t>pojazdu zakupionego od Policji, Agencji Bezpieczeństwa Wewnętrznego, Agencji Wywiadu, Służby Kontrwywiadu Wojskowego, Służby Wywiadu Wojskowego, Centralnego Biura Antykorupcyjnego, Straży Granicznej, Krajowej Administracji Skarbowej lub Sił Zbrojnych Rzeczypospolitej Polskiej – w zakresie ust. 1 pkt 8;</w:t>
            </w:r>
          </w:p>
          <w:p w14:paraId="2F893420" w14:textId="77777777" w:rsidR="000B75B6" w:rsidRPr="005A611F" w:rsidRDefault="000B75B6" w:rsidP="0042202B">
            <w:pPr>
              <w:ind w:left="324" w:hanging="324"/>
              <w:rPr>
                <w:rFonts w:cstheme="minorHAnsi"/>
                <w:b/>
                <w:i/>
              </w:rPr>
            </w:pPr>
            <w:r w:rsidRPr="005A611F">
              <w:rPr>
                <w:rFonts w:cstheme="minorHAnsi"/>
                <w:b/>
                <w:i/>
              </w:rPr>
              <w:t>6)</w:t>
            </w:r>
            <w:r w:rsidRPr="005A611F">
              <w:rPr>
                <w:rFonts w:cstheme="minorHAnsi"/>
                <w:b/>
                <w:i/>
              </w:rPr>
              <w:tab/>
              <w:t>pojazdu wycofanego czasowo z ruchu – w zakresie ust. 1 pkt 8; w tym przypadku zamiast dowodu rejestracyjnego wymaga się przedstawienia decyzji o czasowym wycofaniu pojazdu z ruchu;</w:t>
            </w:r>
          </w:p>
          <w:p w14:paraId="3DA177A2" w14:textId="77777777" w:rsidR="000B75B6" w:rsidRPr="005A611F" w:rsidRDefault="000B75B6" w:rsidP="0042202B">
            <w:pPr>
              <w:ind w:left="324" w:hanging="324"/>
              <w:rPr>
                <w:rFonts w:cstheme="minorHAnsi"/>
                <w:b/>
                <w:i/>
              </w:rPr>
            </w:pPr>
            <w:r w:rsidRPr="005A611F">
              <w:rPr>
                <w:rFonts w:cstheme="minorHAnsi"/>
                <w:b/>
                <w:i/>
              </w:rPr>
              <w:t>7)</w:t>
            </w:r>
            <w:r w:rsidRPr="005A611F">
              <w:rPr>
                <w:rFonts w:cstheme="minorHAnsi"/>
                <w:b/>
                <w:i/>
              </w:rPr>
              <w:tab/>
              <w:t>pojazdu wyrejestrowanego, o którym mowa w art. 79 ust. 4 pkt 3 – w przypadku powtórnej rejestracji – w zakresie ust. 1 pkt 8;</w:t>
            </w:r>
          </w:p>
          <w:p w14:paraId="76774AAE" w14:textId="77777777" w:rsidR="000B75B6" w:rsidRPr="005A611F" w:rsidRDefault="000B75B6" w:rsidP="0042202B">
            <w:pPr>
              <w:ind w:left="324" w:hanging="324"/>
              <w:rPr>
                <w:rFonts w:cstheme="minorHAnsi"/>
                <w:b/>
                <w:i/>
              </w:rPr>
            </w:pPr>
            <w:r w:rsidRPr="005A611F">
              <w:rPr>
                <w:rFonts w:cstheme="minorHAnsi"/>
                <w:b/>
                <w:i/>
              </w:rPr>
              <w:t>8)</w:t>
            </w:r>
            <w:r w:rsidRPr="005A611F">
              <w:rPr>
                <w:rFonts w:cstheme="minorHAnsi"/>
                <w:b/>
                <w:i/>
              </w:rPr>
              <w:tab/>
              <w:t>pojazdu, o którym mowa w art. 81 ust. 4 pkt 1 – w zakresie ust. 1 pkt 7;</w:t>
            </w:r>
          </w:p>
          <w:p w14:paraId="7F0C47DB" w14:textId="7C03DB7F" w:rsidR="000B75B6" w:rsidRPr="005A611F" w:rsidRDefault="000B75B6" w:rsidP="0042202B">
            <w:pPr>
              <w:rPr>
                <w:rFonts w:cstheme="minorHAnsi"/>
                <w:b/>
                <w:i/>
              </w:rPr>
            </w:pPr>
            <w:r w:rsidRPr="005A611F">
              <w:rPr>
                <w:rFonts w:cstheme="minorHAnsi"/>
                <w:b/>
                <w:i/>
              </w:rPr>
              <w:t>9) pojazdu zarejestrowanego na terytorium Rzeczypospolitej Polskiej – w zakresie ust. 1 pkt 7, jeżeli informacja o aktualnym pozytywnym wyniku badania technicznego pojazdu jest zamieszczona w centralnej ewidencji pojazdów.”</w:t>
            </w:r>
            <w:bookmarkEnd w:id="47"/>
          </w:p>
        </w:tc>
        <w:tc>
          <w:tcPr>
            <w:tcW w:w="3686" w:type="dxa"/>
          </w:tcPr>
          <w:p w14:paraId="4CF8FCD8" w14:textId="1837CD25" w:rsidR="000B75B6" w:rsidRPr="005A611F" w:rsidRDefault="000B75B6" w:rsidP="0042202B">
            <w:pPr>
              <w:rPr>
                <w:rFonts w:cstheme="minorHAnsi"/>
                <w:b/>
              </w:rPr>
            </w:pPr>
            <w:r>
              <w:rPr>
                <w:rFonts w:cstheme="minorHAnsi"/>
                <w:b/>
              </w:rPr>
              <w:t xml:space="preserve">Akceptacja </w:t>
            </w:r>
          </w:p>
        </w:tc>
      </w:tr>
      <w:tr w:rsidR="000B75B6" w:rsidRPr="00F515D6" w14:paraId="08B76FF8" w14:textId="0708DA7E" w:rsidTr="00D76FE7">
        <w:tc>
          <w:tcPr>
            <w:tcW w:w="562" w:type="dxa"/>
          </w:tcPr>
          <w:p w14:paraId="1031AA0B" w14:textId="77777777" w:rsidR="000B75B6" w:rsidRPr="00031D41" w:rsidRDefault="000B75B6" w:rsidP="0042202B">
            <w:pPr>
              <w:rPr>
                <w:rFonts w:cstheme="minorHAnsi"/>
                <w:b/>
              </w:rPr>
            </w:pPr>
            <w:r w:rsidRPr="00031D41">
              <w:rPr>
                <w:rFonts w:cstheme="minorHAnsi"/>
                <w:b/>
              </w:rPr>
              <w:t>67</w:t>
            </w:r>
          </w:p>
        </w:tc>
        <w:tc>
          <w:tcPr>
            <w:tcW w:w="993" w:type="dxa"/>
          </w:tcPr>
          <w:p w14:paraId="5C55237D" w14:textId="77777777" w:rsidR="000B75B6" w:rsidRPr="00031D41" w:rsidRDefault="000B75B6" w:rsidP="0042202B">
            <w:pPr>
              <w:rPr>
                <w:rFonts w:cstheme="minorHAnsi"/>
                <w:b/>
              </w:rPr>
            </w:pPr>
            <w:r w:rsidRPr="00031D41">
              <w:rPr>
                <w:rFonts w:cstheme="minorHAnsi"/>
                <w:b/>
              </w:rPr>
              <w:t>MC</w:t>
            </w:r>
          </w:p>
        </w:tc>
        <w:tc>
          <w:tcPr>
            <w:tcW w:w="1701" w:type="dxa"/>
          </w:tcPr>
          <w:p w14:paraId="493F54CA" w14:textId="77777777" w:rsidR="000B75B6" w:rsidRPr="00031D41" w:rsidRDefault="000B75B6" w:rsidP="0042202B">
            <w:pPr>
              <w:rPr>
                <w:rFonts w:cstheme="minorHAnsi"/>
                <w:b/>
              </w:rPr>
            </w:pPr>
            <w:r w:rsidRPr="00031D41">
              <w:rPr>
                <w:rFonts w:cstheme="minorHAnsi"/>
                <w:b/>
              </w:rPr>
              <w:t>Art. 72 ust. 2c  PRD</w:t>
            </w:r>
          </w:p>
        </w:tc>
        <w:tc>
          <w:tcPr>
            <w:tcW w:w="5953" w:type="dxa"/>
          </w:tcPr>
          <w:p w14:paraId="1DA4B62E" w14:textId="7DDA67E4" w:rsidR="000B75B6" w:rsidRPr="00031D41" w:rsidRDefault="000B75B6" w:rsidP="0042202B">
            <w:pPr>
              <w:rPr>
                <w:rFonts w:cstheme="minorHAnsi"/>
                <w:b/>
              </w:rPr>
            </w:pPr>
            <w:bookmarkStart w:id="48" w:name="_Hlk221811585"/>
            <w:r w:rsidRPr="00031D41">
              <w:rPr>
                <w:rFonts w:cstheme="minorHAnsi"/>
                <w:b/>
              </w:rPr>
              <w:t>Art. 72 ust. 2c stanowi, że w przypadku braku możliwości uzyskania oświadczenia zawierającego dane dopuszcza się przedłożenie zaświadczenia o przeprowadzonym badaniu technicznym – w celu identyfikacji pojazdu. Jednocześnie w ustawie przewidziano, że dokument identyfikujący pojazd będzie gromadzony w centralnej ewidencji pojazdów. Z tego względu wydaje się uzasadnione, aby zapewnić, że w przypadku gdy dokument identyfikujący pojazd jest dostępny w centralnej ewidencji pojazdów, przedłożenie zaświadczenia o przeprowadzonym badaniu technicznym nie jest wymagane – z uwzględnieniem odpowiedniego terminu wejścia w życie tego przepisu spójnego z rozpoczęciem gromadzenia przedmiotowych danych w centralnej ewidencji pojazdów.</w:t>
            </w:r>
            <w:bookmarkEnd w:id="48"/>
          </w:p>
        </w:tc>
        <w:tc>
          <w:tcPr>
            <w:tcW w:w="3827" w:type="dxa"/>
          </w:tcPr>
          <w:p w14:paraId="51F1D254" w14:textId="27B46DB6" w:rsidR="000B75B6" w:rsidRPr="00031D41" w:rsidRDefault="000B75B6" w:rsidP="0042202B">
            <w:pPr>
              <w:rPr>
                <w:rFonts w:cstheme="minorHAnsi"/>
                <w:b/>
              </w:rPr>
            </w:pPr>
            <w:r w:rsidRPr="00F21307">
              <w:rPr>
                <w:rFonts w:cstheme="minorHAnsi"/>
                <w:b/>
              </w:rPr>
              <w:t>Temat do dyskusji w trakcie konferencji:</w:t>
            </w:r>
          </w:p>
          <w:p w14:paraId="71A049E8" w14:textId="55D6B662" w:rsidR="000B75B6" w:rsidRPr="00F21307" w:rsidRDefault="000B75B6" w:rsidP="0042202B">
            <w:pPr>
              <w:rPr>
                <w:rFonts w:cstheme="minorHAnsi"/>
                <w:b/>
              </w:rPr>
            </w:pPr>
            <w:r>
              <w:rPr>
                <w:rFonts w:cstheme="minorHAnsi"/>
                <w:b/>
              </w:rPr>
              <w:t>s</w:t>
            </w:r>
            <w:r w:rsidRPr="00F21307">
              <w:rPr>
                <w:rFonts w:cstheme="minorHAnsi"/>
                <w:b/>
              </w:rPr>
              <w:t xml:space="preserve">ytuacja opisana w przepisie dotyczy nowego pojazdu ze świadectwem zgodności, który ma być zarejestrowany w Polsce po raz pierwszy, jednakże nie zostało dla niego wystawione oświadczenie w zakresie danych do rejestracji i ewidencji np. nowy pojazd sprowadzony przez właściciela z innego kraju UE, dla którego nie może on pozyskać takiego oświadczenia. W takim przypadku wprowadzono możliwość przedstawienia w toku rejestracji zamiast wymaganego oświadczenia dla nowego pojazdu – zaświadczenia z </w:t>
            </w:r>
            <w:r>
              <w:rPr>
                <w:rFonts w:cstheme="minorHAnsi"/>
                <w:b/>
              </w:rPr>
              <w:t xml:space="preserve">dodatkowego </w:t>
            </w:r>
            <w:r w:rsidRPr="00F21307">
              <w:rPr>
                <w:rFonts w:cstheme="minorHAnsi"/>
                <w:b/>
              </w:rPr>
              <w:t xml:space="preserve">badania technicznego </w:t>
            </w:r>
            <w:r>
              <w:rPr>
                <w:rFonts w:cstheme="minorHAnsi"/>
                <w:b/>
              </w:rPr>
              <w:t xml:space="preserve">pojazdu </w:t>
            </w:r>
            <w:r w:rsidRPr="00F21307">
              <w:rPr>
                <w:rFonts w:cstheme="minorHAnsi"/>
                <w:b/>
              </w:rPr>
              <w:t>– tj. badania z art. 81 ust. 11 pkt 2 lit. a -</w:t>
            </w:r>
            <w:r>
              <w:t xml:space="preserve"> </w:t>
            </w:r>
            <w:r w:rsidRPr="00F21307">
              <w:rPr>
                <w:rFonts w:cstheme="minorHAnsi"/>
                <w:b/>
              </w:rPr>
              <w:t>skierowan</w:t>
            </w:r>
            <w:r>
              <w:rPr>
                <w:rFonts w:cstheme="minorHAnsi"/>
                <w:b/>
              </w:rPr>
              <w:t>ego</w:t>
            </w:r>
            <w:r w:rsidRPr="00F21307">
              <w:rPr>
                <w:rFonts w:cstheme="minorHAnsi"/>
                <w:b/>
              </w:rPr>
              <w:t xml:space="preserve"> przez starostę albo na wniosek posiadacza pojazdu</w:t>
            </w:r>
            <w:r>
              <w:rPr>
                <w:rFonts w:cstheme="minorHAnsi"/>
                <w:b/>
              </w:rPr>
              <w:t xml:space="preserve"> </w:t>
            </w:r>
            <w:r w:rsidRPr="00F21307">
              <w:rPr>
                <w:rFonts w:cstheme="minorHAnsi"/>
                <w:b/>
              </w:rPr>
              <w:t>w celu identyfikacji lub ustalenia danych niezbędnych do jego rejestracji</w:t>
            </w:r>
            <w:r>
              <w:rPr>
                <w:rFonts w:cstheme="minorHAnsi"/>
                <w:b/>
              </w:rPr>
              <w:t xml:space="preserve">. </w:t>
            </w:r>
          </w:p>
          <w:p w14:paraId="1F296C6E" w14:textId="517AC997" w:rsidR="000B75B6" w:rsidRDefault="000B75B6" w:rsidP="0042202B">
            <w:pPr>
              <w:rPr>
                <w:rFonts w:cstheme="minorHAnsi"/>
                <w:b/>
              </w:rPr>
            </w:pPr>
            <w:r w:rsidRPr="00F21307">
              <w:rPr>
                <w:rFonts w:cstheme="minorHAnsi"/>
                <w:b/>
              </w:rPr>
              <w:t>W przepisi</w:t>
            </w:r>
            <w:r>
              <w:rPr>
                <w:rFonts w:cstheme="minorHAnsi"/>
                <w:b/>
              </w:rPr>
              <w:t>e jest zatem</w:t>
            </w:r>
            <w:r w:rsidRPr="00F21307">
              <w:rPr>
                <w:rFonts w:cstheme="minorHAnsi"/>
                <w:b/>
              </w:rPr>
              <w:t xml:space="preserve"> mowa o badaniu dodatkowym</w:t>
            </w:r>
            <w:r>
              <w:rPr>
                <w:rFonts w:cstheme="minorHAnsi"/>
                <w:b/>
              </w:rPr>
              <w:t xml:space="preserve"> nowego pojazdu, który dopiero będzie rejestrowany w PL, zatem na tym etapie w CEP nie będzie widniał dla tego pojazdu dokument identyfikacyjny pojazdu. </w:t>
            </w:r>
          </w:p>
          <w:p w14:paraId="6E94957F" w14:textId="77777777" w:rsidR="000B75B6" w:rsidRDefault="000B75B6" w:rsidP="0042202B">
            <w:pPr>
              <w:rPr>
                <w:rFonts w:cstheme="minorHAnsi"/>
                <w:b/>
              </w:rPr>
            </w:pPr>
          </w:p>
          <w:p w14:paraId="52EDD2A9" w14:textId="2C06E26E" w:rsidR="000B75B6" w:rsidRPr="00031D41" w:rsidRDefault="000B75B6" w:rsidP="0042202B">
            <w:pPr>
              <w:rPr>
                <w:rFonts w:cstheme="minorHAnsi"/>
                <w:b/>
              </w:rPr>
            </w:pPr>
            <w:r>
              <w:rPr>
                <w:rFonts w:cstheme="minorHAnsi"/>
                <w:b/>
              </w:rPr>
              <w:t xml:space="preserve">Analogiczna sytuacja w przypadku pojazdu objętego świadectwem dopuszczenia indywidualnego wydanego przez inny kraj UE i podlegającego uznaniu przez Dyrektora TDT – procedura dotyczy pojazdu zarejestrowanego, ale w innym kraju niż PL – art. 68o ust. 7 – który będzie rejestrowany po raz pierwszy w PL, zatem w CEP nie będzie DIP tego pojazdu. </w:t>
            </w:r>
          </w:p>
        </w:tc>
        <w:tc>
          <w:tcPr>
            <w:tcW w:w="3686" w:type="dxa"/>
          </w:tcPr>
          <w:p w14:paraId="17D03E43" w14:textId="04701E5A" w:rsidR="000B75B6" w:rsidRDefault="000B75B6" w:rsidP="0042202B">
            <w:pPr>
              <w:rPr>
                <w:rFonts w:cstheme="minorHAnsi"/>
                <w:b/>
              </w:rPr>
            </w:pPr>
            <w:r>
              <w:rPr>
                <w:rFonts w:cstheme="minorHAnsi"/>
                <w:b/>
              </w:rPr>
              <w:t xml:space="preserve">Do korekty </w:t>
            </w:r>
            <w:r w:rsidR="00DC3286">
              <w:rPr>
                <w:rFonts w:cstheme="minorHAnsi"/>
                <w:b/>
              </w:rPr>
              <w:t>przepis</w:t>
            </w:r>
            <w:r w:rsidR="001A5889">
              <w:rPr>
                <w:rFonts w:cstheme="minorHAnsi"/>
                <w:b/>
              </w:rPr>
              <w:t>y</w:t>
            </w:r>
            <w:r w:rsidR="00DC3286">
              <w:rPr>
                <w:rFonts w:cstheme="minorHAnsi"/>
                <w:b/>
              </w:rPr>
              <w:t xml:space="preserve"> -</w:t>
            </w:r>
            <w:r>
              <w:rPr>
                <w:rFonts w:cstheme="minorHAnsi"/>
                <w:b/>
              </w:rPr>
              <w:t xml:space="preserve">zaświadczenie elektroniczne </w:t>
            </w:r>
            <w:r w:rsidR="00F96EBD">
              <w:rPr>
                <w:rFonts w:cstheme="minorHAnsi"/>
                <w:b/>
              </w:rPr>
              <w:t>–</w:t>
            </w:r>
            <w:r>
              <w:rPr>
                <w:rFonts w:cstheme="minorHAnsi"/>
                <w:b/>
              </w:rPr>
              <w:t xml:space="preserve"> cep</w:t>
            </w:r>
          </w:p>
          <w:p w14:paraId="7B7CC0CC" w14:textId="77777777" w:rsidR="00F96EBD" w:rsidRDefault="00F96EBD" w:rsidP="0042202B">
            <w:pPr>
              <w:rPr>
                <w:rFonts w:cstheme="minorHAnsi"/>
                <w:b/>
              </w:rPr>
            </w:pPr>
          </w:p>
          <w:p w14:paraId="79B2B616" w14:textId="5A6A88A3" w:rsidR="00F96EBD" w:rsidRPr="00F21307" w:rsidRDefault="00F96EBD" w:rsidP="0042202B">
            <w:pPr>
              <w:rPr>
                <w:rFonts w:cstheme="minorHAnsi"/>
                <w:b/>
              </w:rPr>
            </w:pPr>
            <w:r>
              <w:rPr>
                <w:b/>
                <w:color w:val="0070C0"/>
              </w:rPr>
              <w:t xml:space="preserve">Wypracowano z COI zmiany. </w:t>
            </w:r>
            <w:r w:rsidRPr="001010BE">
              <w:rPr>
                <w:b/>
                <w:color w:val="0070C0"/>
              </w:rPr>
              <w:t xml:space="preserve">  </w:t>
            </w:r>
          </w:p>
        </w:tc>
      </w:tr>
      <w:tr w:rsidR="000B75B6" w:rsidRPr="00F515D6" w14:paraId="59037305" w14:textId="58007189" w:rsidTr="00D76FE7">
        <w:tc>
          <w:tcPr>
            <w:tcW w:w="562" w:type="dxa"/>
          </w:tcPr>
          <w:p w14:paraId="004F3704" w14:textId="77777777" w:rsidR="000B75B6" w:rsidRPr="005A611F" w:rsidRDefault="000B75B6" w:rsidP="0042202B">
            <w:pPr>
              <w:rPr>
                <w:rFonts w:cstheme="minorHAnsi"/>
                <w:b/>
              </w:rPr>
            </w:pPr>
            <w:r w:rsidRPr="005A611F">
              <w:rPr>
                <w:rFonts w:cstheme="minorHAnsi"/>
                <w:b/>
              </w:rPr>
              <w:t>68</w:t>
            </w:r>
          </w:p>
        </w:tc>
        <w:tc>
          <w:tcPr>
            <w:tcW w:w="993" w:type="dxa"/>
          </w:tcPr>
          <w:p w14:paraId="79FE5796" w14:textId="77777777" w:rsidR="000B75B6" w:rsidRPr="005A611F" w:rsidRDefault="000B75B6" w:rsidP="0042202B">
            <w:pPr>
              <w:rPr>
                <w:rFonts w:cstheme="minorHAnsi"/>
                <w:b/>
              </w:rPr>
            </w:pPr>
            <w:r w:rsidRPr="005A611F">
              <w:rPr>
                <w:rFonts w:cstheme="minorHAnsi"/>
                <w:b/>
              </w:rPr>
              <w:t>MC</w:t>
            </w:r>
          </w:p>
        </w:tc>
        <w:tc>
          <w:tcPr>
            <w:tcW w:w="1701" w:type="dxa"/>
          </w:tcPr>
          <w:p w14:paraId="2D730C1B" w14:textId="77777777" w:rsidR="000B75B6" w:rsidRPr="005A611F" w:rsidRDefault="000B75B6" w:rsidP="0042202B">
            <w:pPr>
              <w:rPr>
                <w:rFonts w:cstheme="minorHAnsi"/>
                <w:b/>
              </w:rPr>
            </w:pPr>
            <w:r w:rsidRPr="005A611F">
              <w:rPr>
                <w:rFonts w:cstheme="minorHAnsi"/>
                <w:b/>
              </w:rPr>
              <w:t>Art. 72a  PRD</w:t>
            </w:r>
          </w:p>
        </w:tc>
        <w:tc>
          <w:tcPr>
            <w:tcW w:w="5953" w:type="dxa"/>
          </w:tcPr>
          <w:p w14:paraId="7AA44614" w14:textId="77777777" w:rsidR="000B75B6" w:rsidRPr="005A611F" w:rsidRDefault="000B75B6" w:rsidP="0042202B">
            <w:pPr>
              <w:rPr>
                <w:rFonts w:cstheme="minorHAnsi"/>
                <w:b/>
              </w:rPr>
            </w:pPr>
            <w:r w:rsidRPr="005A611F">
              <w:rPr>
                <w:rFonts w:cstheme="minorHAnsi"/>
                <w:b/>
              </w:rPr>
              <w:t>W zakresie art. 72a należy zauważyć, że w projekcie ustawy o zmianie ustawy – Prawo o ruchu drogowym (numer druku 1437) dodano art. 72a – niniejszy projekt również uwzględnia zmianę w zakresie dodania art. 72a, co będzie wymagało skorygowania na dalszym etapie prac.</w:t>
            </w:r>
          </w:p>
          <w:p w14:paraId="31A43E5A" w14:textId="724C77FE" w:rsidR="000B75B6" w:rsidRPr="005A611F" w:rsidRDefault="000B75B6" w:rsidP="0042202B">
            <w:pPr>
              <w:rPr>
                <w:rFonts w:cstheme="minorHAnsi"/>
                <w:b/>
              </w:rPr>
            </w:pPr>
          </w:p>
        </w:tc>
        <w:tc>
          <w:tcPr>
            <w:tcW w:w="3827" w:type="dxa"/>
          </w:tcPr>
          <w:p w14:paraId="04F8D4AC" w14:textId="5A08C92A" w:rsidR="000B75B6" w:rsidRPr="005A611F" w:rsidRDefault="000B75B6" w:rsidP="0042202B">
            <w:pPr>
              <w:rPr>
                <w:rFonts w:cstheme="minorHAnsi"/>
                <w:b/>
              </w:rPr>
            </w:pPr>
            <w:r w:rsidRPr="005A611F">
              <w:rPr>
                <w:rFonts w:cstheme="minorHAnsi"/>
                <w:b/>
                <w:bCs/>
              </w:rPr>
              <w:t>U</w:t>
            </w:r>
            <w:r w:rsidRPr="005A611F">
              <w:rPr>
                <w:rFonts w:cstheme="minorHAnsi"/>
                <w:b/>
              </w:rPr>
              <w:t xml:space="preserve">waga uwzględniona.  </w:t>
            </w:r>
          </w:p>
        </w:tc>
        <w:tc>
          <w:tcPr>
            <w:tcW w:w="3686" w:type="dxa"/>
          </w:tcPr>
          <w:p w14:paraId="2410853D" w14:textId="1BE0B63C" w:rsidR="000B75B6" w:rsidRPr="005A611F" w:rsidRDefault="000B75B6" w:rsidP="0042202B">
            <w:pPr>
              <w:rPr>
                <w:rFonts w:cstheme="minorHAnsi"/>
                <w:b/>
                <w:bCs/>
              </w:rPr>
            </w:pPr>
            <w:r>
              <w:rPr>
                <w:rFonts w:cstheme="minorHAnsi"/>
                <w:b/>
                <w:bCs/>
              </w:rPr>
              <w:t xml:space="preserve">Akceptacja </w:t>
            </w:r>
          </w:p>
        </w:tc>
      </w:tr>
      <w:tr w:rsidR="000B75B6" w:rsidRPr="00F515D6" w14:paraId="7DC6EEEB" w14:textId="28D4414A" w:rsidTr="00D76FE7">
        <w:tc>
          <w:tcPr>
            <w:tcW w:w="562" w:type="dxa"/>
          </w:tcPr>
          <w:p w14:paraId="74606AEB" w14:textId="77777777" w:rsidR="000B75B6" w:rsidRPr="005A611F" w:rsidRDefault="000B75B6" w:rsidP="0042202B">
            <w:pPr>
              <w:rPr>
                <w:rFonts w:cstheme="minorHAnsi"/>
                <w:b/>
              </w:rPr>
            </w:pPr>
            <w:r w:rsidRPr="005A611F">
              <w:rPr>
                <w:rFonts w:cstheme="minorHAnsi"/>
                <w:b/>
              </w:rPr>
              <w:t>69</w:t>
            </w:r>
          </w:p>
        </w:tc>
        <w:tc>
          <w:tcPr>
            <w:tcW w:w="993" w:type="dxa"/>
          </w:tcPr>
          <w:p w14:paraId="31F2ACFD" w14:textId="77777777" w:rsidR="000B75B6" w:rsidRPr="005A611F" w:rsidRDefault="000B75B6" w:rsidP="0042202B">
            <w:pPr>
              <w:rPr>
                <w:rFonts w:cstheme="minorHAnsi"/>
                <w:b/>
              </w:rPr>
            </w:pPr>
            <w:r w:rsidRPr="005A611F">
              <w:rPr>
                <w:rFonts w:cstheme="minorHAnsi"/>
                <w:b/>
              </w:rPr>
              <w:t>MC</w:t>
            </w:r>
          </w:p>
        </w:tc>
        <w:tc>
          <w:tcPr>
            <w:tcW w:w="1701" w:type="dxa"/>
          </w:tcPr>
          <w:p w14:paraId="45E323E0" w14:textId="77777777" w:rsidR="000B75B6" w:rsidRPr="005A611F" w:rsidRDefault="000B75B6" w:rsidP="0042202B">
            <w:pPr>
              <w:rPr>
                <w:rFonts w:cstheme="minorHAnsi"/>
                <w:b/>
              </w:rPr>
            </w:pPr>
            <w:r w:rsidRPr="005A611F">
              <w:rPr>
                <w:rFonts w:cstheme="minorHAnsi"/>
                <w:b/>
              </w:rPr>
              <w:t>Art. 73aa ust. 1a  PRD</w:t>
            </w:r>
          </w:p>
        </w:tc>
        <w:tc>
          <w:tcPr>
            <w:tcW w:w="5953" w:type="dxa"/>
          </w:tcPr>
          <w:p w14:paraId="35E42A88" w14:textId="1E1A333E" w:rsidR="000B75B6" w:rsidRPr="005A611F" w:rsidRDefault="000B75B6" w:rsidP="0042202B">
            <w:pPr>
              <w:rPr>
                <w:rFonts w:cstheme="minorHAnsi"/>
                <w:b/>
              </w:rPr>
            </w:pPr>
            <w:r w:rsidRPr="005A611F">
              <w:rPr>
                <w:rFonts w:cstheme="minorHAnsi"/>
                <w:b/>
              </w:rPr>
              <w:t>W proponowanym brzmieniu art. 73aa ust. 1a ustawodawca odnosi się wyłącznie do wniosku o wydanie świadectwa krajowego indywidualnego dopuszczenia pojazdu niebędącego nowym pojazdem. Powyższe rozwiązanie budzi jednak wątpliwości w kontekście dwóch pozostałych form indywidualnego dopuszczenia pojazdu, tj. unijnego indywidualnego dopuszczenia pojazdu oraz krajowego indywidualnego dopuszczenia nowego pojazdu. Biorąc pod uwagę, że w obecnym stanie prawnym właściciel każdego pojazdu, również nowego, jeżeli nie dopełni obowiązku jego rejestracji w terminie ustawowym, podlega karze pieniężnej, zasadnym wydaje się objęcie procedurą opisaną w ust. 1a również dwóch pozostałych przypadków indywidualnego dopuszczenia pojazdu, tak aby właściciele pojazdu nie byli obciążani karami w sytuacji gdy nie mogą dopełnić obowiązku rejestracji pojazdu, ponieważ oczekują na wydanie odpowiedniego świadectwa przez Dyrektora TDT.</w:t>
            </w:r>
          </w:p>
        </w:tc>
        <w:tc>
          <w:tcPr>
            <w:tcW w:w="3827" w:type="dxa"/>
          </w:tcPr>
          <w:p w14:paraId="3D781E81" w14:textId="45CDD73F" w:rsidR="000B75B6" w:rsidRPr="0013698A" w:rsidRDefault="000B75B6" w:rsidP="0042202B">
            <w:pPr>
              <w:rPr>
                <w:rFonts w:cstheme="minorHAnsi"/>
                <w:b/>
              </w:rPr>
            </w:pPr>
            <w:r w:rsidRPr="00E803F1">
              <w:rPr>
                <w:rFonts w:cstheme="minorHAnsi"/>
                <w:b/>
              </w:rPr>
              <w:t>Uwaga uwzględniona – do dyskusji na konferencji</w:t>
            </w:r>
            <w:r>
              <w:rPr>
                <w:rFonts w:cstheme="minorHAnsi"/>
                <w:b/>
              </w:rPr>
              <w:t xml:space="preserve">: </w:t>
            </w:r>
          </w:p>
          <w:p w14:paraId="44370FC2" w14:textId="31011D99" w:rsidR="000B75B6" w:rsidRPr="0013698A" w:rsidRDefault="000B75B6"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13698A">
              <w:rPr>
                <w:rFonts w:asciiTheme="minorHAnsi" w:eastAsiaTheme="minorHAnsi" w:hAnsiTheme="minorHAnsi" w:cstheme="minorHAnsi"/>
                <w:b/>
                <w:i/>
                <w:sz w:val="22"/>
                <w:szCs w:val="22"/>
                <w:lang w:eastAsia="en-US"/>
              </w:rPr>
              <w:t xml:space="preserve">„1a. W przypadku, gdy właściciel pojazdu złoży wniosek o wydanie jednego z dokumentów, o którym mowa </w:t>
            </w:r>
            <w:r>
              <w:rPr>
                <w:rFonts w:asciiTheme="minorHAnsi" w:eastAsiaTheme="minorHAnsi" w:hAnsiTheme="minorHAnsi" w:cstheme="minorHAnsi"/>
                <w:b/>
                <w:i/>
                <w:sz w:val="22"/>
                <w:szCs w:val="22"/>
                <w:lang w:eastAsia="en-US"/>
              </w:rPr>
              <w:t xml:space="preserve">odpowiednio </w:t>
            </w:r>
            <w:r w:rsidRPr="0013698A">
              <w:rPr>
                <w:rFonts w:asciiTheme="minorHAnsi" w:eastAsiaTheme="minorHAnsi" w:hAnsiTheme="minorHAnsi" w:cstheme="minorHAnsi"/>
                <w:b/>
                <w:i/>
                <w:sz w:val="22"/>
                <w:szCs w:val="22"/>
                <w:lang w:eastAsia="en-US"/>
              </w:rPr>
              <w:t xml:space="preserve">w art. 68c ust. 1, art. 68j ust. </w:t>
            </w:r>
            <w:r>
              <w:rPr>
                <w:rFonts w:asciiTheme="minorHAnsi" w:eastAsiaTheme="minorHAnsi" w:hAnsiTheme="minorHAnsi" w:cstheme="minorHAnsi"/>
                <w:b/>
                <w:i/>
                <w:sz w:val="22"/>
                <w:szCs w:val="22"/>
                <w:lang w:eastAsia="en-US"/>
              </w:rPr>
              <w:t>2 i 4</w:t>
            </w:r>
            <w:r w:rsidRPr="0013698A">
              <w:rPr>
                <w:rFonts w:asciiTheme="minorHAnsi" w:eastAsiaTheme="minorHAnsi" w:hAnsiTheme="minorHAnsi" w:cstheme="minorHAnsi"/>
                <w:b/>
                <w:i/>
                <w:sz w:val="22"/>
                <w:szCs w:val="22"/>
                <w:lang w:eastAsia="en-US"/>
              </w:rPr>
              <w:t xml:space="preserve">, art. 68o ust. </w:t>
            </w:r>
            <w:r>
              <w:rPr>
                <w:rFonts w:asciiTheme="minorHAnsi" w:eastAsiaTheme="minorHAnsi" w:hAnsiTheme="minorHAnsi" w:cstheme="minorHAnsi"/>
                <w:b/>
                <w:i/>
                <w:sz w:val="22"/>
                <w:szCs w:val="22"/>
                <w:lang w:eastAsia="en-US"/>
              </w:rPr>
              <w:t>1</w:t>
            </w:r>
            <w:r w:rsidRPr="0013698A">
              <w:rPr>
                <w:rFonts w:asciiTheme="minorHAnsi" w:eastAsiaTheme="minorHAnsi" w:hAnsiTheme="minorHAnsi" w:cstheme="minorHAnsi"/>
                <w:b/>
                <w:i/>
                <w:sz w:val="22"/>
                <w:szCs w:val="22"/>
                <w:lang w:eastAsia="en-US"/>
              </w:rPr>
              <w:t xml:space="preserve"> albo 7 ustawy z dnia 14 kwietnia 2023 r. o systemach homologacji pojazdów oraz ich wyposażenia, w terminie, o którym mowa w ust. 1, termin 30 dni na złożenie wniosku o rejestrację pojazdu biegnie od dnia uzyskania przedmiotowego dokumentu.</w:t>
            </w:r>
            <w:r>
              <w:rPr>
                <w:rFonts w:asciiTheme="minorHAnsi" w:eastAsiaTheme="minorHAnsi" w:hAnsiTheme="minorHAnsi" w:cstheme="minorHAnsi"/>
                <w:b/>
                <w:i/>
                <w:sz w:val="22"/>
                <w:szCs w:val="22"/>
                <w:lang w:eastAsia="en-US"/>
              </w:rPr>
              <w:t>”</w:t>
            </w:r>
            <w:r w:rsidRPr="00253445">
              <w:t xml:space="preserve"> </w:t>
            </w:r>
          </w:p>
          <w:p w14:paraId="0D407B4D" w14:textId="2B1746DD" w:rsidR="000B75B6" w:rsidRPr="005A611F" w:rsidRDefault="000B75B6" w:rsidP="0042202B">
            <w:pPr>
              <w:rPr>
                <w:rFonts w:cstheme="minorHAnsi"/>
                <w:b/>
              </w:rPr>
            </w:pPr>
            <w:r>
              <w:rPr>
                <w:rFonts w:cstheme="minorHAnsi"/>
                <w:b/>
              </w:rPr>
              <w:t xml:space="preserve">W przepisie uwzględniono wydawane przez Dyrektora TDT </w:t>
            </w:r>
            <w:r w:rsidRPr="005A611F">
              <w:rPr>
                <w:rFonts w:cstheme="minorHAnsi"/>
                <w:b/>
              </w:rPr>
              <w:t>unijne</w:t>
            </w:r>
            <w:r>
              <w:rPr>
                <w:rFonts w:cstheme="minorHAnsi"/>
                <w:b/>
              </w:rPr>
              <w:t xml:space="preserve"> oraz krajowe </w:t>
            </w:r>
            <w:r w:rsidRPr="005A611F">
              <w:rPr>
                <w:rFonts w:cstheme="minorHAnsi"/>
                <w:b/>
              </w:rPr>
              <w:t>indywidualne dopuszczenia pojazdu</w:t>
            </w:r>
            <w:r>
              <w:rPr>
                <w:rFonts w:cstheme="minorHAnsi"/>
                <w:b/>
              </w:rPr>
              <w:t xml:space="preserve">, jak również uznania przez Dyrektora TDT krajowych dopuszczeń wydanych przez organy innych państw UE. </w:t>
            </w:r>
          </w:p>
        </w:tc>
        <w:tc>
          <w:tcPr>
            <w:tcW w:w="3686" w:type="dxa"/>
          </w:tcPr>
          <w:p w14:paraId="7F48884F" w14:textId="77777777" w:rsidR="000B75B6" w:rsidRDefault="000B75B6" w:rsidP="0042202B">
            <w:pPr>
              <w:rPr>
                <w:rFonts w:cstheme="minorHAnsi"/>
                <w:b/>
              </w:rPr>
            </w:pPr>
            <w:r>
              <w:rPr>
                <w:rFonts w:cstheme="minorHAnsi"/>
                <w:b/>
              </w:rPr>
              <w:t xml:space="preserve">Akceptacja </w:t>
            </w:r>
          </w:p>
          <w:p w14:paraId="15D2C6FF" w14:textId="77777777" w:rsidR="00F96EBD" w:rsidRDefault="00F96EBD" w:rsidP="0042202B">
            <w:pPr>
              <w:rPr>
                <w:rFonts w:cstheme="minorHAnsi"/>
                <w:b/>
              </w:rPr>
            </w:pPr>
          </w:p>
          <w:p w14:paraId="71D97C56" w14:textId="2CB1A6E8" w:rsidR="00F96EBD" w:rsidRPr="00E803F1" w:rsidRDefault="00F96EBD" w:rsidP="0042202B">
            <w:pPr>
              <w:rPr>
                <w:rFonts w:cstheme="minorHAnsi"/>
                <w:b/>
              </w:rPr>
            </w:pPr>
            <w:r>
              <w:rPr>
                <w:b/>
                <w:color w:val="0070C0"/>
              </w:rPr>
              <w:t xml:space="preserve">Wypracowano z COI zmiany. </w:t>
            </w:r>
            <w:r w:rsidRPr="001010BE">
              <w:rPr>
                <w:b/>
                <w:color w:val="0070C0"/>
              </w:rPr>
              <w:t xml:space="preserve">  </w:t>
            </w:r>
          </w:p>
        </w:tc>
      </w:tr>
      <w:tr w:rsidR="000B75B6" w:rsidRPr="00F515D6" w14:paraId="746A2BF0" w14:textId="3F83E1E2" w:rsidTr="00D76FE7">
        <w:tc>
          <w:tcPr>
            <w:tcW w:w="562" w:type="dxa"/>
          </w:tcPr>
          <w:p w14:paraId="53C8A52E" w14:textId="77777777" w:rsidR="000B75B6" w:rsidRPr="005A611F" w:rsidRDefault="000B75B6" w:rsidP="0042202B">
            <w:pPr>
              <w:rPr>
                <w:rFonts w:cstheme="minorHAnsi"/>
                <w:b/>
              </w:rPr>
            </w:pPr>
            <w:r w:rsidRPr="005A611F">
              <w:rPr>
                <w:rFonts w:cstheme="minorHAnsi"/>
                <w:b/>
              </w:rPr>
              <w:t>70</w:t>
            </w:r>
          </w:p>
        </w:tc>
        <w:tc>
          <w:tcPr>
            <w:tcW w:w="993" w:type="dxa"/>
          </w:tcPr>
          <w:p w14:paraId="5375C0A2" w14:textId="77777777" w:rsidR="000B75B6" w:rsidRPr="005A611F" w:rsidRDefault="000B75B6" w:rsidP="0042202B">
            <w:pPr>
              <w:rPr>
                <w:rFonts w:cstheme="minorHAnsi"/>
                <w:b/>
              </w:rPr>
            </w:pPr>
            <w:r w:rsidRPr="005A611F">
              <w:rPr>
                <w:rFonts w:cstheme="minorHAnsi"/>
                <w:b/>
              </w:rPr>
              <w:t>MC</w:t>
            </w:r>
          </w:p>
        </w:tc>
        <w:tc>
          <w:tcPr>
            <w:tcW w:w="1701" w:type="dxa"/>
          </w:tcPr>
          <w:p w14:paraId="676BE868" w14:textId="77777777" w:rsidR="000B75B6" w:rsidRPr="005A611F" w:rsidRDefault="000B75B6" w:rsidP="0042202B">
            <w:pPr>
              <w:rPr>
                <w:rFonts w:cstheme="minorHAnsi"/>
                <w:b/>
              </w:rPr>
            </w:pPr>
            <w:r w:rsidRPr="005A611F">
              <w:rPr>
                <w:rFonts w:cstheme="minorHAnsi"/>
                <w:b/>
              </w:rPr>
              <w:t>Art. 79 ust. 1 tiret pierwsze PRD</w:t>
            </w:r>
          </w:p>
        </w:tc>
        <w:tc>
          <w:tcPr>
            <w:tcW w:w="5953" w:type="dxa"/>
          </w:tcPr>
          <w:p w14:paraId="31BFCAA7" w14:textId="5D48C947" w:rsidR="000B75B6" w:rsidRPr="005A611F" w:rsidRDefault="000B75B6" w:rsidP="0042202B">
            <w:pPr>
              <w:rPr>
                <w:rFonts w:cstheme="minorHAnsi"/>
                <w:b/>
              </w:rPr>
            </w:pPr>
            <w:r w:rsidRPr="005A611F">
              <w:rPr>
                <w:rFonts w:cstheme="minorHAnsi"/>
                <w:b/>
              </w:rPr>
              <w:t xml:space="preserve">Pkt 10 lit. a – w ust. 1 wprowadza się obowiązek przedstawienia zaświadczenia wydanego przez właściwy organ Policji potwierdzającego zgłoszenie kradzieży albo postanowienie o umorzeniu dochodzenia. Wydaje się nadmiarowe zobowiązywanie do przedstawienia zaświadczenia o kradzieży pojazdu – dane te bowiem są gromadzone w centralnej ewidencji pojazdów i udostępniane organowi rejestrującemu. Z tego względu proponuje się wykreślenie z niniejszego przepisu wyrazów „zaświadczenie wydane przez właściwy organ Policji potwierdzające zgłoszenie kradzieży pojazdu albo”. </w:t>
            </w:r>
            <w:bookmarkStart w:id="49" w:name="_Hlk210295349"/>
            <w:r w:rsidRPr="005A611F">
              <w:rPr>
                <w:rFonts w:cstheme="minorHAnsi"/>
                <w:b/>
              </w:rPr>
              <w:t>Do ewentualnego rozważenia pozostaje wprowadzenie rozwiązania polegającego na wyrejestrowaniu pojazdu z powodu kradzieży z urzędu, na podstawie informacji o kradzieży przekazywanej właściwemu miejscowo staroście z systemu teleinformatycznego obsługującego centralną ewidencję pojazdów.</w:t>
            </w:r>
            <w:bookmarkEnd w:id="49"/>
          </w:p>
        </w:tc>
        <w:tc>
          <w:tcPr>
            <w:tcW w:w="3827" w:type="dxa"/>
          </w:tcPr>
          <w:p w14:paraId="15FBF284" w14:textId="54C257BC" w:rsidR="000B75B6" w:rsidRPr="005A611F" w:rsidRDefault="000B75B6" w:rsidP="0042202B">
            <w:pPr>
              <w:rPr>
                <w:rFonts w:cstheme="minorHAnsi"/>
                <w:b/>
              </w:rPr>
            </w:pPr>
            <w:r w:rsidRPr="005A611F">
              <w:rPr>
                <w:rFonts w:cstheme="minorHAnsi"/>
                <w:b/>
              </w:rPr>
              <w:t>Uwaga uwzględniona</w:t>
            </w:r>
          </w:p>
          <w:p w14:paraId="7D938079" w14:textId="77777777" w:rsidR="000B75B6" w:rsidRPr="005A611F" w:rsidRDefault="000B75B6" w:rsidP="0042202B">
            <w:pPr>
              <w:rPr>
                <w:rFonts w:cstheme="minorHAnsi"/>
                <w:b/>
              </w:rPr>
            </w:pPr>
          </w:p>
          <w:p w14:paraId="59961FD1" w14:textId="54F5DCD7" w:rsidR="000B75B6" w:rsidRPr="005A611F" w:rsidRDefault="000B75B6" w:rsidP="0042202B">
            <w:pPr>
              <w:rPr>
                <w:rFonts w:cstheme="minorHAnsi"/>
                <w:b/>
              </w:rPr>
            </w:pPr>
            <w:r>
              <w:rPr>
                <w:rFonts w:cstheme="minorHAnsi"/>
                <w:b/>
              </w:rPr>
              <w:t>A</w:t>
            </w:r>
            <w:r w:rsidRPr="005A611F">
              <w:rPr>
                <w:rFonts w:cstheme="minorHAnsi"/>
                <w:b/>
              </w:rPr>
              <w:t xml:space="preserve">rt. 80b ust. 1 pkt 14 w związku z art. 80ba ust. 1 pkt 3 PRD </w:t>
            </w:r>
            <w:r>
              <w:rPr>
                <w:rFonts w:cstheme="minorHAnsi"/>
                <w:b/>
              </w:rPr>
              <w:t xml:space="preserve">- </w:t>
            </w:r>
            <w:r w:rsidRPr="005A611F">
              <w:rPr>
                <w:rFonts w:cstheme="minorHAnsi"/>
                <w:b/>
              </w:rPr>
              <w:t>propozycja brzmienia przepisu uwzględniająca uwagę:</w:t>
            </w:r>
          </w:p>
          <w:p w14:paraId="25CE3F96" w14:textId="6F4F7D99" w:rsidR="000B75B6" w:rsidRPr="005A611F" w:rsidRDefault="000B75B6" w:rsidP="0042202B">
            <w:pPr>
              <w:rPr>
                <w:rFonts w:cstheme="minorHAnsi"/>
                <w:b/>
              </w:rPr>
            </w:pPr>
            <w:bookmarkStart w:id="50" w:name="_Hlk219123428"/>
            <w:r w:rsidRPr="005A611F">
              <w:rPr>
                <w:rFonts w:cstheme="minorHAnsi"/>
                <w:b/>
                <w:i/>
              </w:rPr>
              <w:t>„kradzieży pojazdu, jeżeli jego właściciel złożył stosowne oświadczenie pod odpowiedzialnością karną za fałszywe zeznania, a w systemie centralnej ewidencji pojazdów znajduje się informacja o kradzieży”</w:t>
            </w:r>
            <w:bookmarkEnd w:id="50"/>
          </w:p>
        </w:tc>
        <w:tc>
          <w:tcPr>
            <w:tcW w:w="3686" w:type="dxa"/>
          </w:tcPr>
          <w:p w14:paraId="417D71A5" w14:textId="3C56F74F" w:rsidR="000B75B6" w:rsidRPr="005A611F" w:rsidRDefault="000B75B6" w:rsidP="0042202B">
            <w:pPr>
              <w:rPr>
                <w:rFonts w:cstheme="minorHAnsi"/>
                <w:b/>
              </w:rPr>
            </w:pPr>
            <w:r>
              <w:rPr>
                <w:rFonts w:cstheme="minorHAnsi"/>
                <w:b/>
              </w:rPr>
              <w:t xml:space="preserve">Akceptacja </w:t>
            </w:r>
          </w:p>
        </w:tc>
      </w:tr>
      <w:tr w:rsidR="000B75B6" w:rsidRPr="00F515D6" w14:paraId="4B4016CE" w14:textId="047D98EB" w:rsidTr="00D76FE7">
        <w:tc>
          <w:tcPr>
            <w:tcW w:w="562" w:type="dxa"/>
          </w:tcPr>
          <w:p w14:paraId="28249D36" w14:textId="77777777" w:rsidR="000B75B6" w:rsidRPr="000034E6" w:rsidRDefault="000B75B6" w:rsidP="0042202B">
            <w:pPr>
              <w:rPr>
                <w:rFonts w:cstheme="minorHAnsi"/>
                <w:b/>
              </w:rPr>
            </w:pPr>
            <w:r w:rsidRPr="000034E6">
              <w:rPr>
                <w:rFonts w:cstheme="minorHAnsi"/>
                <w:b/>
              </w:rPr>
              <w:t>71</w:t>
            </w:r>
          </w:p>
        </w:tc>
        <w:tc>
          <w:tcPr>
            <w:tcW w:w="993" w:type="dxa"/>
          </w:tcPr>
          <w:p w14:paraId="1FAFE062" w14:textId="77777777" w:rsidR="000B75B6" w:rsidRPr="000034E6" w:rsidRDefault="000B75B6" w:rsidP="0042202B">
            <w:pPr>
              <w:rPr>
                <w:rFonts w:cstheme="minorHAnsi"/>
                <w:b/>
              </w:rPr>
            </w:pPr>
            <w:r w:rsidRPr="000034E6">
              <w:rPr>
                <w:rFonts w:cstheme="minorHAnsi"/>
                <w:b/>
              </w:rPr>
              <w:t>MC</w:t>
            </w:r>
          </w:p>
        </w:tc>
        <w:tc>
          <w:tcPr>
            <w:tcW w:w="1701" w:type="dxa"/>
          </w:tcPr>
          <w:p w14:paraId="393FD92F" w14:textId="77777777" w:rsidR="000B75B6" w:rsidRPr="000034E6" w:rsidRDefault="000B75B6" w:rsidP="0042202B">
            <w:pPr>
              <w:rPr>
                <w:rFonts w:cstheme="minorHAnsi"/>
                <w:b/>
              </w:rPr>
            </w:pPr>
            <w:r w:rsidRPr="000034E6">
              <w:rPr>
                <w:rFonts w:cstheme="minorHAnsi"/>
                <w:b/>
              </w:rPr>
              <w:t>Art. 79 ust. 3c  PRD</w:t>
            </w:r>
          </w:p>
        </w:tc>
        <w:tc>
          <w:tcPr>
            <w:tcW w:w="5953" w:type="dxa"/>
          </w:tcPr>
          <w:p w14:paraId="42C49650" w14:textId="77777777" w:rsidR="000B75B6" w:rsidRPr="000034E6" w:rsidRDefault="000B75B6" w:rsidP="0042202B">
            <w:pPr>
              <w:rPr>
                <w:rFonts w:cstheme="minorHAnsi"/>
                <w:b/>
              </w:rPr>
            </w:pPr>
            <w:r w:rsidRPr="000034E6">
              <w:rPr>
                <w:rFonts w:cstheme="minorHAnsi"/>
                <w:b/>
              </w:rPr>
              <w:t>Pkt 10 lit. b – w zakresie dodawanego ust. 3c: Wymaga wyjaśnienia liczba przypadków wydania decyzji przez Dyrektora Transportowego Dozoru Technicznego o wycofaniu pojazdu z obrotu w skali miesiąca i roku. Budowa kosztownych rozwiązań teleinformatycznych wymaga uzasadnienia, jeśli chodzi o poniesione środki względem uzyskanych korzyści. Popierane jest uproszczenie procedur administracyjnych i dążenie do automatyzacji i cyfryzacji procesów, niemniej jednak przygotowanie rozwiązań, integracje z systemami dziedzinowymi i poniesione na nie nakłady powinny być adekwatne do uzyskiwanych efektów. Ponadto zgodnie z uwagami w zakresie terminów wejścia w życie rozwiązań, o ile skala przypadków uzasadni potrzebę budowy rozwiązania teleinformatycznego, niezbędne będzie zapewnienie odpowiedniego vacatio legis na wejście w życie tego przepisu.</w:t>
            </w:r>
          </w:p>
          <w:p w14:paraId="617BA1C9" w14:textId="02F9C343" w:rsidR="000B75B6" w:rsidRPr="000034E6" w:rsidRDefault="000B75B6" w:rsidP="0042202B">
            <w:pPr>
              <w:rPr>
                <w:rFonts w:cstheme="minorHAnsi"/>
                <w:b/>
              </w:rPr>
            </w:pPr>
          </w:p>
        </w:tc>
        <w:tc>
          <w:tcPr>
            <w:tcW w:w="3827" w:type="dxa"/>
          </w:tcPr>
          <w:p w14:paraId="3615E4BB" w14:textId="1C79587D" w:rsidR="000B75B6" w:rsidRPr="000034E6" w:rsidRDefault="000B75B6" w:rsidP="0042202B">
            <w:pPr>
              <w:rPr>
                <w:b/>
              </w:rPr>
            </w:pPr>
            <w:r w:rsidRPr="000034E6">
              <w:rPr>
                <w:b/>
              </w:rPr>
              <w:t>Uwaga wyjaśniona – wprowadzono zmianę brzmienia przepisów art. 53b, art. 68s ust. 1 pkt 1</w:t>
            </w:r>
            <w:r>
              <w:rPr>
                <w:b/>
              </w:rPr>
              <w:t>5</w:t>
            </w:r>
            <w:r w:rsidRPr="000034E6">
              <w:rPr>
                <w:b/>
              </w:rPr>
              <w:t xml:space="preserve"> w zakresie UH, oraz art. 79 ust. 3c i art. 80b ust. 1 pkt 18</w:t>
            </w:r>
            <w:r>
              <w:rPr>
                <w:b/>
              </w:rPr>
              <w:t>c</w:t>
            </w:r>
            <w:r w:rsidRPr="000034E6">
              <w:rPr>
                <w:b/>
              </w:rPr>
              <w:t xml:space="preserve"> PRD. </w:t>
            </w:r>
          </w:p>
          <w:p w14:paraId="00F4B619" w14:textId="77777777" w:rsidR="000B75B6" w:rsidRPr="000034E6" w:rsidRDefault="000B75B6" w:rsidP="0042202B">
            <w:pPr>
              <w:rPr>
                <w:b/>
              </w:rPr>
            </w:pPr>
            <w:r w:rsidRPr="000034E6">
              <w:rPr>
                <w:b/>
              </w:rPr>
              <w:t xml:space="preserve">Przekazywaniem do ewidencji objęte będą pojazdy objęte decyzjami Dyrektora TDT, o których mowa w art. 53b ust. 1 lub 3 UH i jednocześnie koniecznością wycofania z rynku lub użytku. </w:t>
            </w:r>
          </w:p>
          <w:p w14:paraId="46FAA098" w14:textId="77777777" w:rsidR="000B75B6" w:rsidRPr="000034E6" w:rsidRDefault="000B75B6" w:rsidP="0042202B">
            <w:pPr>
              <w:rPr>
                <w:b/>
              </w:rPr>
            </w:pPr>
          </w:p>
          <w:p w14:paraId="17EFB3F3" w14:textId="73845248" w:rsidR="000B75B6" w:rsidRPr="000034E6" w:rsidRDefault="000B75B6" w:rsidP="0042202B">
            <w:pPr>
              <w:rPr>
                <w:b/>
              </w:rPr>
            </w:pPr>
            <w:r w:rsidRPr="000034E6">
              <w:rPr>
                <w:b/>
              </w:rPr>
              <w:t xml:space="preserve">Na chwilę obecną, ze względu na nowy charakter zadania, nie jest możliwe wskazanie w sposób pewny skali pojazdów objętych tymi decyzjami. Szacujemy, iż w danym roku może to być od 1 pojazdu do 50 tysięcy pojazdów. Liczba ta będzie również zależna od charakteru prowadzonej działalności i sposobu wprowadzania pojazdów do obrotu – w przypadku importu pojazdów o danym modelu z kraju trzeciego decyzje mogą dotyczyć pojedynczych sztuk. Natomiast w przypadku wprowadzania do obrotu pojazdów przez duże podmioty na dużą skalę, gdzie rocznie sprzedawanych jest po 10-20 tysięcy samochodów, decyzją o wycofaniu objęte mogą być większe ilości pojazdów.  </w:t>
            </w:r>
          </w:p>
          <w:p w14:paraId="61D73037" w14:textId="77777777" w:rsidR="000B75B6" w:rsidRPr="000034E6" w:rsidRDefault="000B75B6" w:rsidP="0042202B">
            <w:pPr>
              <w:rPr>
                <w:b/>
              </w:rPr>
            </w:pPr>
            <w:r w:rsidRPr="000034E6">
              <w:rPr>
                <w:b/>
              </w:rPr>
              <w:t xml:space="preserve">Zakres danych, jakie powinny być gromadzone w ewidencji: informacja o decyzji Dyrektora TDT o wycofaniu pojazdu z rynku lub użytku, wprowadzona do informacji o pojeździe zarejestrowanym widniejących w ewidencji. </w:t>
            </w:r>
          </w:p>
          <w:p w14:paraId="17619E00" w14:textId="385FCD52" w:rsidR="000B75B6" w:rsidRPr="000034E6" w:rsidRDefault="000B75B6" w:rsidP="0042202B">
            <w:pPr>
              <w:rPr>
                <w:b/>
              </w:rPr>
            </w:pPr>
            <w:r w:rsidRPr="000034E6">
              <w:rPr>
                <w:b/>
              </w:rPr>
              <w:t xml:space="preserve">Art. 53b ust. </w:t>
            </w:r>
            <w:r>
              <w:rPr>
                <w:b/>
              </w:rPr>
              <w:t>7</w:t>
            </w:r>
            <w:r w:rsidRPr="000034E6">
              <w:rPr>
                <w:b/>
              </w:rPr>
              <w:t xml:space="preserve"> wskazuje, iż pojazd, wycofany z rynku lub użytku nie może być ponownie udostępniony na rynku. </w:t>
            </w:r>
          </w:p>
          <w:p w14:paraId="16F72EAF" w14:textId="6CD9F864" w:rsidR="000B75B6" w:rsidRDefault="000B75B6" w:rsidP="0042202B">
            <w:pPr>
              <w:pStyle w:val="ZLITUSTzmustliter"/>
              <w:spacing w:line="240" w:lineRule="auto"/>
              <w:ind w:left="0" w:firstLine="0"/>
              <w:jc w:val="left"/>
              <w:rPr>
                <w:rFonts w:asciiTheme="minorHAnsi" w:eastAsiaTheme="minorHAnsi" w:hAnsiTheme="minorHAnsi" w:cstheme="minorBidi"/>
                <w:b/>
                <w:bCs w:val="0"/>
                <w:sz w:val="22"/>
                <w:szCs w:val="22"/>
                <w:lang w:eastAsia="en-US"/>
              </w:rPr>
            </w:pPr>
            <w:r w:rsidRPr="000034E6">
              <w:rPr>
                <w:rFonts w:asciiTheme="minorHAnsi" w:eastAsiaTheme="minorHAnsi" w:hAnsiTheme="minorHAnsi" w:cstheme="minorBidi"/>
                <w:b/>
                <w:bCs w:val="0"/>
                <w:sz w:val="22"/>
                <w:szCs w:val="22"/>
                <w:lang w:eastAsia="en-US"/>
              </w:rPr>
              <w:t>Dodatkowo pojazd będzie podlegał wyrejestrowaniu zgodnie z art. 79 ust. 3c. PRD po wpisaniu informacji o tej decyzji do ewidencji przekazanej do organu rejestrującego</w:t>
            </w:r>
            <w:r>
              <w:rPr>
                <w:rFonts w:asciiTheme="minorHAnsi" w:eastAsiaTheme="minorHAnsi" w:hAnsiTheme="minorHAnsi" w:cstheme="minorBidi"/>
                <w:b/>
                <w:bCs w:val="0"/>
                <w:sz w:val="22"/>
                <w:szCs w:val="22"/>
                <w:lang w:eastAsia="en-US"/>
              </w:rPr>
              <w:t>:</w:t>
            </w:r>
          </w:p>
          <w:p w14:paraId="61450D2D" w14:textId="16260C62" w:rsidR="000B75B6" w:rsidRPr="001332C3" w:rsidRDefault="000B75B6" w:rsidP="0042202B">
            <w:pPr>
              <w:rPr>
                <w:b/>
                <w:i/>
              </w:rPr>
            </w:pPr>
            <w:r w:rsidRPr="00253445">
              <w:t>„</w:t>
            </w:r>
            <w:r w:rsidRPr="001332C3">
              <w:rPr>
                <w:b/>
                <w:i/>
              </w:rPr>
              <w:t>3c.</w:t>
            </w:r>
            <w:r>
              <w:rPr>
                <w:b/>
                <w:i/>
              </w:rPr>
              <w:t xml:space="preserve"> </w:t>
            </w:r>
            <w:r w:rsidRPr="001332C3">
              <w:rPr>
                <w:b/>
                <w:i/>
              </w:rPr>
              <w:t>Organ rejestrujący dokonuje wyrejestrowania pojazdu z urzędu na podstawie informacji otrzymanej od administratora danych i informacji zgromadzonych w centralnej ewidencji pojazdów o wydaniu przez Dyrektora Transportowego Dozoru Technicznego decyzji o wycofaniu pojazdu z rynku lub użytku, o której mowa w art. 53b ust. 1 lub ust. 3 ustawy z dnia 14 kwietnia 2023 r. o systemach homologacji pojazdów oraz ich wyposażenia, niezwłocznie po dniu otrzymania tej informacji.”;</w:t>
            </w:r>
          </w:p>
          <w:p w14:paraId="6651950C" w14:textId="77777777" w:rsidR="000B75B6" w:rsidRPr="000034E6" w:rsidRDefault="000B75B6" w:rsidP="0042202B">
            <w:pPr>
              <w:pStyle w:val="ZLITUSTzmustliter"/>
              <w:spacing w:line="240" w:lineRule="auto"/>
              <w:ind w:left="0" w:firstLine="0"/>
              <w:jc w:val="left"/>
              <w:rPr>
                <w:rFonts w:asciiTheme="minorHAnsi" w:eastAsiaTheme="minorHAnsi" w:hAnsiTheme="minorHAnsi" w:cstheme="minorBidi"/>
                <w:b/>
                <w:bCs w:val="0"/>
                <w:sz w:val="22"/>
                <w:szCs w:val="22"/>
                <w:lang w:eastAsia="en-US"/>
              </w:rPr>
            </w:pPr>
          </w:p>
          <w:p w14:paraId="5EFA8152" w14:textId="3655793C" w:rsidR="000B75B6" w:rsidRPr="000034E6" w:rsidRDefault="000B75B6" w:rsidP="0042202B">
            <w:pPr>
              <w:pStyle w:val="ZLITUSTzmustliter"/>
              <w:spacing w:line="240" w:lineRule="auto"/>
              <w:ind w:left="0" w:firstLine="0"/>
              <w:jc w:val="left"/>
              <w:rPr>
                <w:rFonts w:asciiTheme="minorHAnsi" w:eastAsiaTheme="minorHAnsi" w:hAnsiTheme="minorHAnsi" w:cstheme="minorBidi"/>
                <w:b/>
                <w:bCs w:val="0"/>
                <w:sz w:val="22"/>
                <w:szCs w:val="22"/>
                <w:lang w:eastAsia="en-US"/>
              </w:rPr>
            </w:pPr>
            <w:r w:rsidRPr="000034E6">
              <w:rPr>
                <w:rFonts w:asciiTheme="minorHAnsi" w:eastAsiaTheme="minorHAnsi" w:hAnsiTheme="minorHAnsi" w:cstheme="minorBidi"/>
                <w:b/>
                <w:bCs w:val="0"/>
                <w:sz w:val="22"/>
                <w:szCs w:val="22"/>
                <w:lang w:eastAsia="en-US"/>
              </w:rPr>
              <w:t xml:space="preserve">Należy również wskazać, iż po wejściu życie ustawy nie będą od razu wydawane decyzji o wycofaniu, gdyż będą prowadzone najpierw postępowania administracyjne, których czas trwania będzie zależny od charakteru sprawy, stopnia jej skomplikowania, czasu wykonywania badań przez TDT na potrzeby weryfikacji spełnienia przez pojazd wymagań technicznych, czasu trwania postępowań odwoławczych. </w:t>
            </w:r>
          </w:p>
        </w:tc>
        <w:tc>
          <w:tcPr>
            <w:tcW w:w="3686" w:type="dxa"/>
          </w:tcPr>
          <w:p w14:paraId="45A84E2C" w14:textId="77777777" w:rsidR="000B75B6" w:rsidRDefault="000B75B6" w:rsidP="0042202B">
            <w:pPr>
              <w:rPr>
                <w:b/>
              </w:rPr>
            </w:pPr>
            <w:r>
              <w:rPr>
                <w:b/>
              </w:rPr>
              <w:t xml:space="preserve">Akceptacja </w:t>
            </w:r>
          </w:p>
          <w:p w14:paraId="616017E8" w14:textId="6E044351" w:rsidR="001A5889" w:rsidRPr="000034E6" w:rsidRDefault="001A5889" w:rsidP="0042202B">
            <w:pPr>
              <w:rPr>
                <w:b/>
              </w:rPr>
            </w:pPr>
          </w:p>
        </w:tc>
      </w:tr>
      <w:tr w:rsidR="000B75B6" w:rsidRPr="00F515D6" w14:paraId="788565F6" w14:textId="3E820363" w:rsidTr="00D76FE7">
        <w:trPr>
          <w:trHeight w:val="1550"/>
        </w:trPr>
        <w:tc>
          <w:tcPr>
            <w:tcW w:w="562" w:type="dxa"/>
          </w:tcPr>
          <w:p w14:paraId="74B7CBE0" w14:textId="77777777" w:rsidR="000B75B6" w:rsidRPr="005C1268" w:rsidRDefault="000B75B6" w:rsidP="0042202B">
            <w:pPr>
              <w:rPr>
                <w:rFonts w:cstheme="minorHAnsi"/>
                <w:b/>
              </w:rPr>
            </w:pPr>
            <w:r w:rsidRPr="005C1268">
              <w:rPr>
                <w:rFonts w:cstheme="minorHAnsi"/>
                <w:b/>
              </w:rPr>
              <w:t>72</w:t>
            </w:r>
          </w:p>
        </w:tc>
        <w:tc>
          <w:tcPr>
            <w:tcW w:w="993" w:type="dxa"/>
          </w:tcPr>
          <w:p w14:paraId="4A1557EC" w14:textId="77777777" w:rsidR="000B75B6" w:rsidRPr="005C1268" w:rsidRDefault="000B75B6" w:rsidP="0042202B">
            <w:pPr>
              <w:rPr>
                <w:rFonts w:cstheme="minorHAnsi"/>
                <w:b/>
              </w:rPr>
            </w:pPr>
            <w:r w:rsidRPr="005C1268">
              <w:rPr>
                <w:rFonts w:cstheme="minorHAnsi"/>
                <w:b/>
              </w:rPr>
              <w:t>MC</w:t>
            </w:r>
          </w:p>
        </w:tc>
        <w:tc>
          <w:tcPr>
            <w:tcW w:w="1701" w:type="dxa"/>
          </w:tcPr>
          <w:p w14:paraId="2FDAC2D7" w14:textId="77777777" w:rsidR="000B75B6" w:rsidRPr="005C1268" w:rsidRDefault="000B75B6" w:rsidP="0042202B">
            <w:pPr>
              <w:rPr>
                <w:rFonts w:cstheme="minorHAnsi"/>
                <w:b/>
              </w:rPr>
            </w:pPr>
            <w:r w:rsidRPr="005C1268">
              <w:rPr>
                <w:rFonts w:cstheme="minorHAnsi"/>
                <w:b/>
              </w:rPr>
              <w:t>Art. 80b ust. 1 pkt 18a  PRD</w:t>
            </w:r>
          </w:p>
        </w:tc>
        <w:tc>
          <w:tcPr>
            <w:tcW w:w="5953" w:type="dxa"/>
          </w:tcPr>
          <w:p w14:paraId="76717E3B" w14:textId="211A20F6" w:rsidR="000B75B6" w:rsidRPr="005C1268" w:rsidRDefault="000B75B6" w:rsidP="0042202B">
            <w:pPr>
              <w:rPr>
                <w:rFonts w:cstheme="minorHAnsi"/>
                <w:b/>
              </w:rPr>
            </w:pPr>
            <w:r w:rsidRPr="005C1268">
              <w:rPr>
                <w:rFonts w:cstheme="minorHAnsi"/>
                <w:b/>
              </w:rPr>
              <w:t>Wydaje się wskazane, z uwagi na czytelność regulacji w art. 80ba, rozdzielenie niniejszego punktu na dwa – odrębnie w zakresie elektronicznych świadectw zgodności i odrębnie w zakresie oświadczeń z uwagi na katalog podmiotów, które będą obowiązane do przekazywania danych.</w:t>
            </w:r>
          </w:p>
        </w:tc>
        <w:tc>
          <w:tcPr>
            <w:tcW w:w="3827" w:type="dxa"/>
          </w:tcPr>
          <w:p w14:paraId="2F799CF4" w14:textId="28888969" w:rsidR="000B75B6" w:rsidRPr="00697183" w:rsidRDefault="000B75B6" w:rsidP="0042202B">
            <w:pPr>
              <w:rPr>
                <w:rFonts w:cstheme="minorHAnsi"/>
                <w:b/>
              </w:rPr>
            </w:pPr>
            <w:r w:rsidRPr="005C1268">
              <w:rPr>
                <w:rFonts w:cstheme="minorHAnsi"/>
                <w:b/>
              </w:rPr>
              <w:t>Uwaga uwzględniona</w:t>
            </w:r>
            <w:r>
              <w:rPr>
                <w:rFonts w:cstheme="minorHAnsi"/>
                <w:b/>
              </w:rPr>
              <w:t xml:space="preserve"> poprzez rozdzielenie pkt 18a i 18b. </w:t>
            </w:r>
          </w:p>
          <w:p w14:paraId="7B048C40" w14:textId="1584F3C5" w:rsidR="000B75B6" w:rsidRPr="005C1268" w:rsidRDefault="000B75B6" w:rsidP="0042202B">
            <w:pPr>
              <w:rPr>
                <w:rFonts w:cstheme="minorHAnsi"/>
                <w:b/>
              </w:rPr>
            </w:pPr>
            <w:r w:rsidRPr="00697183">
              <w:rPr>
                <w:rFonts w:cstheme="minorHAnsi"/>
                <w:b/>
              </w:rPr>
              <w:t xml:space="preserve">Uwaga ta łączy się z uwagą </w:t>
            </w:r>
            <w:r>
              <w:rPr>
                <w:rFonts w:cstheme="minorHAnsi"/>
                <w:b/>
              </w:rPr>
              <w:t xml:space="preserve">nr </w:t>
            </w:r>
            <w:r w:rsidRPr="00697183">
              <w:rPr>
                <w:rFonts w:cstheme="minorHAnsi"/>
                <w:b/>
              </w:rPr>
              <w:t>76.</w:t>
            </w:r>
          </w:p>
        </w:tc>
        <w:tc>
          <w:tcPr>
            <w:tcW w:w="3686" w:type="dxa"/>
          </w:tcPr>
          <w:p w14:paraId="1CC8BA38" w14:textId="0BDFD637" w:rsidR="000B75B6" w:rsidRPr="005C1268" w:rsidRDefault="000B75B6" w:rsidP="0042202B">
            <w:pPr>
              <w:rPr>
                <w:rFonts w:cstheme="minorHAnsi"/>
                <w:b/>
              </w:rPr>
            </w:pPr>
            <w:r>
              <w:rPr>
                <w:rFonts w:cstheme="minorHAnsi"/>
                <w:b/>
              </w:rPr>
              <w:t xml:space="preserve">Akceptacja </w:t>
            </w:r>
          </w:p>
        </w:tc>
      </w:tr>
      <w:tr w:rsidR="000B75B6" w:rsidRPr="00F515D6" w14:paraId="0E5D8D0D" w14:textId="5B9CB43C" w:rsidTr="00D76FE7">
        <w:tc>
          <w:tcPr>
            <w:tcW w:w="562" w:type="dxa"/>
          </w:tcPr>
          <w:p w14:paraId="30A5922B" w14:textId="77777777" w:rsidR="000B75B6" w:rsidRPr="00D4047F" w:rsidRDefault="000B75B6" w:rsidP="0042202B">
            <w:pPr>
              <w:rPr>
                <w:rFonts w:cstheme="minorHAnsi"/>
                <w:b/>
              </w:rPr>
            </w:pPr>
            <w:r w:rsidRPr="00D4047F">
              <w:rPr>
                <w:rFonts w:cstheme="minorHAnsi"/>
                <w:b/>
              </w:rPr>
              <w:t>73</w:t>
            </w:r>
          </w:p>
        </w:tc>
        <w:tc>
          <w:tcPr>
            <w:tcW w:w="993" w:type="dxa"/>
          </w:tcPr>
          <w:p w14:paraId="5AE54294" w14:textId="77777777" w:rsidR="000B75B6" w:rsidRPr="00D4047F" w:rsidRDefault="000B75B6" w:rsidP="0042202B">
            <w:pPr>
              <w:rPr>
                <w:rFonts w:cstheme="minorHAnsi"/>
                <w:b/>
              </w:rPr>
            </w:pPr>
            <w:r w:rsidRPr="00D4047F">
              <w:rPr>
                <w:rFonts w:cstheme="minorHAnsi"/>
                <w:b/>
              </w:rPr>
              <w:t>MC</w:t>
            </w:r>
          </w:p>
        </w:tc>
        <w:tc>
          <w:tcPr>
            <w:tcW w:w="1701" w:type="dxa"/>
          </w:tcPr>
          <w:p w14:paraId="28380222" w14:textId="77777777" w:rsidR="000B75B6" w:rsidRPr="00D4047F" w:rsidRDefault="000B75B6" w:rsidP="0042202B">
            <w:pPr>
              <w:rPr>
                <w:rFonts w:cstheme="minorHAnsi"/>
                <w:b/>
              </w:rPr>
            </w:pPr>
            <w:r w:rsidRPr="00D4047F">
              <w:rPr>
                <w:rFonts w:cstheme="minorHAnsi"/>
                <w:b/>
              </w:rPr>
              <w:t>Art. 80b ust. 1  PRD</w:t>
            </w:r>
          </w:p>
        </w:tc>
        <w:tc>
          <w:tcPr>
            <w:tcW w:w="5953" w:type="dxa"/>
          </w:tcPr>
          <w:p w14:paraId="1853B425" w14:textId="77777777" w:rsidR="000B75B6" w:rsidRPr="00D4047F" w:rsidRDefault="000B75B6" w:rsidP="0042202B">
            <w:pPr>
              <w:rPr>
                <w:rFonts w:cstheme="minorHAnsi"/>
                <w:b/>
              </w:rPr>
            </w:pPr>
            <w:r w:rsidRPr="00D4047F">
              <w:rPr>
                <w:rFonts w:cstheme="minorHAnsi"/>
                <w:b/>
              </w:rPr>
              <w:t>Proponuje się dodanie pkt o zaświadczeniach o braku spełnienia wymagań do wydania świadectwa krajowego indywidualnego dopuszczenia pojazdu niebędącego nowym pojazdem (zgodnie z art. 68i ust. 4 projektu). Ponadto nie uwzględniono nowego zakresu danych o wydaniu świadectwa krajowego indywidualnego dopuszczenia pojazdu niebędącego nowym pojazdem – jeżeli dane te miałyby mieścić się w pkt 18, to konieczna jest modyfikacja art. 80ba w zakresie w jakim dane do ewidencji przekazują stacje kontroli pojazdów.</w:t>
            </w:r>
          </w:p>
          <w:p w14:paraId="07B68814" w14:textId="71F32808" w:rsidR="000B75B6" w:rsidRPr="00D4047F" w:rsidRDefault="000B75B6" w:rsidP="0042202B">
            <w:pPr>
              <w:rPr>
                <w:rFonts w:cstheme="minorHAnsi"/>
                <w:b/>
              </w:rPr>
            </w:pPr>
          </w:p>
        </w:tc>
        <w:tc>
          <w:tcPr>
            <w:tcW w:w="3827" w:type="dxa"/>
          </w:tcPr>
          <w:p w14:paraId="008F23D0" w14:textId="18832B3E" w:rsidR="000B75B6" w:rsidRPr="00D4047F" w:rsidRDefault="000B75B6" w:rsidP="0042202B">
            <w:pPr>
              <w:rPr>
                <w:rFonts w:cstheme="minorHAnsi"/>
                <w:b/>
              </w:rPr>
            </w:pPr>
            <w:bookmarkStart w:id="51" w:name="_Hlk221813359"/>
            <w:r w:rsidRPr="00D4047F">
              <w:rPr>
                <w:rFonts w:cstheme="minorHAnsi"/>
                <w:b/>
              </w:rPr>
              <w:t>Uwaga uwzględniona poprzez rozszerzenie art. 80b i 80ba o przekazywanie przez s</w:t>
            </w:r>
            <w:r>
              <w:rPr>
                <w:rFonts w:cstheme="minorHAnsi"/>
                <w:b/>
              </w:rPr>
              <w:t xml:space="preserve">tacje </w:t>
            </w:r>
            <w:r w:rsidRPr="00D4047F">
              <w:rPr>
                <w:rFonts w:cstheme="minorHAnsi"/>
                <w:b/>
              </w:rPr>
              <w:t>k</w:t>
            </w:r>
            <w:r>
              <w:rPr>
                <w:rFonts w:cstheme="minorHAnsi"/>
                <w:b/>
              </w:rPr>
              <w:t>ontroli pojazdów</w:t>
            </w:r>
            <w:r w:rsidRPr="00D4047F">
              <w:rPr>
                <w:rFonts w:cstheme="minorHAnsi"/>
                <w:b/>
              </w:rPr>
              <w:t xml:space="preserve"> informacji o świadectwach krajowego indywidualnego dopuszczenia pojazdu niebędącego nowym pojazdem i zaświadczeniach o braku spełnienia wymagań do wydania świadectwa krajowego indywidualnego dopuszczenia pojazdu niebędącego nowym pojazdem</w:t>
            </w:r>
            <w:r>
              <w:rPr>
                <w:rFonts w:cstheme="minorHAnsi"/>
                <w:b/>
              </w:rPr>
              <w:t xml:space="preserve"> (art. 80b ust. 1 pkt 18d)</w:t>
            </w:r>
            <w:r w:rsidRPr="00D4047F">
              <w:rPr>
                <w:rFonts w:cstheme="minorHAnsi"/>
                <w:b/>
              </w:rPr>
              <w:t xml:space="preserve">. </w:t>
            </w:r>
            <w:bookmarkEnd w:id="51"/>
          </w:p>
        </w:tc>
        <w:tc>
          <w:tcPr>
            <w:tcW w:w="3686" w:type="dxa"/>
          </w:tcPr>
          <w:p w14:paraId="2220DDDF" w14:textId="77777777" w:rsidR="000B75B6" w:rsidRDefault="000B75B6" w:rsidP="0042202B">
            <w:pPr>
              <w:rPr>
                <w:rFonts w:cstheme="minorHAnsi"/>
                <w:b/>
              </w:rPr>
            </w:pPr>
            <w:r>
              <w:rPr>
                <w:rFonts w:cstheme="minorHAnsi"/>
                <w:b/>
              </w:rPr>
              <w:t xml:space="preserve">Wstępna akceptacja, ale MC zaproponuje przepis – spotkanie robocze z MC. </w:t>
            </w:r>
          </w:p>
          <w:p w14:paraId="490B0CE3" w14:textId="77777777" w:rsidR="00F96EBD" w:rsidRDefault="00F96EBD" w:rsidP="0042202B">
            <w:pPr>
              <w:rPr>
                <w:rFonts w:cstheme="minorHAnsi"/>
                <w:b/>
              </w:rPr>
            </w:pPr>
          </w:p>
          <w:p w14:paraId="25BB3CFD" w14:textId="7F14A080" w:rsidR="00F96EBD" w:rsidRPr="00D4047F" w:rsidRDefault="00F96EBD" w:rsidP="0042202B">
            <w:pPr>
              <w:rPr>
                <w:rFonts w:cstheme="minorHAnsi"/>
                <w:b/>
              </w:rPr>
            </w:pPr>
            <w:r w:rsidRPr="00F96EBD">
              <w:rPr>
                <w:rFonts w:cstheme="minorHAnsi"/>
                <w:b/>
                <w:color w:val="0070C0"/>
              </w:rPr>
              <w:t xml:space="preserve">Wypracowano z COI zmiany. </w:t>
            </w:r>
          </w:p>
        </w:tc>
      </w:tr>
      <w:tr w:rsidR="000B75B6" w:rsidRPr="00F515D6" w14:paraId="116E07EF" w14:textId="1B1F6B90" w:rsidTr="00D76FE7">
        <w:tc>
          <w:tcPr>
            <w:tcW w:w="562" w:type="dxa"/>
          </w:tcPr>
          <w:p w14:paraId="35F8DED3" w14:textId="77777777" w:rsidR="000B75B6" w:rsidRPr="008E15A4" w:rsidRDefault="000B75B6" w:rsidP="0042202B">
            <w:pPr>
              <w:rPr>
                <w:rFonts w:cstheme="minorHAnsi"/>
                <w:b/>
              </w:rPr>
            </w:pPr>
            <w:r w:rsidRPr="008E15A4">
              <w:rPr>
                <w:rFonts w:cstheme="minorHAnsi"/>
                <w:b/>
              </w:rPr>
              <w:t>74</w:t>
            </w:r>
          </w:p>
        </w:tc>
        <w:tc>
          <w:tcPr>
            <w:tcW w:w="993" w:type="dxa"/>
          </w:tcPr>
          <w:p w14:paraId="27892559" w14:textId="77777777" w:rsidR="000B75B6" w:rsidRPr="008E15A4" w:rsidRDefault="000B75B6" w:rsidP="0042202B">
            <w:pPr>
              <w:rPr>
                <w:rFonts w:cstheme="minorHAnsi"/>
                <w:b/>
              </w:rPr>
            </w:pPr>
            <w:r w:rsidRPr="008E15A4">
              <w:rPr>
                <w:rFonts w:cstheme="minorHAnsi"/>
                <w:b/>
              </w:rPr>
              <w:t>MC</w:t>
            </w:r>
          </w:p>
        </w:tc>
        <w:tc>
          <w:tcPr>
            <w:tcW w:w="1701" w:type="dxa"/>
          </w:tcPr>
          <w:p w14:paraId="536A9DA6" w14:textId="77777777" w:rsidR="000B75B6" w:rsidRPr="008E15A4" w:rsidRDefault="000B75B6" w:rsidP="0042202B">
            <w:pPr>
              <w:rPr>
                <w:rFonts w:cstheme="minorHAnsi"/>
                <w:b/>
              </w:rPr>
            </w:pPr>
            <w:r w:rsidRPr="008E15A4">
              <w:rPr>
                <w:rFonts w:cstheme="minorHAnsi"/>
                <w:b/>
              </w:rPr>
              <w:t>Art. 80b ust. 1 pkt 21b  PRD</w:t>
            </w:r>
          </w:p>
        </w:tc>
        <w:tc>
          <w:tcPr>
            <w:tcW w:w="5953" w:type="dxa"/>
          </w:tcPr>
          <w:p w14:paraId="570B69C4" w14:textId="77777777" w:rsidR="000B75B6" w:rsidRPr="008E15A4" w:rsidRDefault="000B75B6" w:rsidP="0042202B">
            <w:pPr>
              <w:rPr>
                <w:rFonts w:cstheme="minorHAnsi"/>
                <w:b/>
              </w:rPr>
            </w:pPr>
            <w:r w:rsidRPr="008E15A4">
              <w:rPr>
                <w:rFonts w:cstheme="minorHAnsi"/>
                <w:b/>
              </w:rPr>
              <w:t>Uwaga analogiczna jak do art. 68s ust. 1 pkt 16. W przypadku jeśli chodziłoby o cofnięcie świadectwa indywidulanego dopuszczenia pojazdu niebędącego pojazdem nowym przez Dyrektora TDT, proponuje się modyfikacje w regulacjach dotyczących centralnej ewidencji pojazdów. Aktualne brzmienie art. 21b jest niejasne i nie jest możliwe określenie jakie informacje miałyby być gromadzone w ewidencji i z jakich procedur miałyby one wynikać.</w:t>
            </w:r>
          </w:p>
          <w:p w14:paraId="3C2ECCBC" w14:textId="5E329F05" w:rsidR="000B75B6" w:rsidRPr="008E15A4" w:rsidRDefault="000B75B6" w:rsidP="0042202B">
            <w:pPr>
              <w:rPr>
                <w:rFonts w:cstheme="minorHAnsi"/>
                <w:b/>
              </w:rPr>
            </w:pPr>
          </w:p>
        </w:tc>
        <w:tc>
          <w:tcPr>
            <w:tcW w:w="3827" w:type="dxa"/>
          </w:tcPr>
          <w:p w14:paraId="6A71238F" w14:textId="3312076B" w:rsidR="000B75B6" w:rsidRPr="008E15A4" w:rsidRDefault="000B75B6" w:rsidP="0042202B">
            <w:pPr>
              <w:rPr>
                <w:rFonts w:cstheme="minorHAnsi"/>
                <w:b/>
              </w:rPr>
            </w:pPr>
            <w:r w:rsidRPr="008E15A4">
              <w:rPr>
                <w:rFonts w:cstheme="minorHAnsi"/>
                <w:b/>
              </w:rPr>
              <w:t xml:space="preserve">Uwaga wyjaśniona – art. 80b ust. 1 pkt 21b PRD został wykreślony, przy czym należy zauważyć, iż nie dotyczył on świadectw indywidulanego dopuszczenia pojazdu niebędącego pojazdem nowym, które mają wydawane przez uprawnionego diagnostę, ale decyzji wydawanych przez Dyrektora TDT jako organ nadzoru rynku, o których mowa w art. 53b ust. 1 i 3 UH. </w:t>
            </w:r>
          </w:p>
        </w:tc>
        <w:tc>
          <w:tcPr>
            <w:tcW w:w="3686" w:type="dxa"/>
          </w:tcPr>
          <w:p w14:paraId="6F14C1D6" w14:textId="77777777" w:rsidR="000B75B6" w:rsidRDefault="000B75B6" w:rsidP="0042202B">
            <w:pPr>
              <w:rPr>
                <w:rFonts w:cstheme="minorHAnsi"/>
                <w:b/>
              </w:rPr>
            </w:pPr>
            <w:r>
              <w:rPr>
                <w:rFonts w:cstheme="minorHAnsi"/>
                <w:b/>
              </w:rPr>
              <w:t>Do ustalenia na spotkaniu z MC</w:t>
            </w:r>
          </w:p>
          <w:p w14:paraId="3032D5E0" w14:textId="77777777" w:rsidR="00F96EBD" w:rsidRDefault="00F96EBD" w:rsidP="0042202B">
            <w:pPr>
              <w:rPr>
                <w:rFonts w:cstheme="minorHAnsi"/>
                <w:b/>
              </w:rPr>
            </w:pPr>
          </w:p>
          <w:p w14:paraId="1F6E28E3" w14:textId="2943D0A3" w:rsidR="00F96EBD" w:rsidRPr="008E15A4" w:rsidRDefault="00F96EBD" w:rsidP="0042202B">
            <w:pPr>
              <w:rPr>
                <w:rFonts w:cstheme="minorHAnsi"/>
                <w:b/>
              </w:rPr>
            </w:pPr>
            <w:r w:rsidRPr="00F96EBD">
              <w:rPr>
                <w:rFonts w:cstheme="minorHAnsi"/>
                <w:b/>
                <w:color w:val="0070C0"/>
              </w:rPr>
              <w:t>Wypracowano z COI zmiany.</w:t>
            </w:r>
          </w:p>
        </w:tc>
      </w:tr>
      <w:tr w:rsidR="000B75B6" w:rsidRPr="00F515D6" w14:paraId="59B1F4CC" w14:textId="6023616F" w:rsidTr="00D76FE7">
        <w:tc>
          <w:tcPr>
            <w:tcW w:w="562" w:type="dxa"/>
          </w:tcPr>
          <w:p w14:paraId="45330D47" w14:textId="77777777" w:rsidR="000B75B6" w:rsidRPr="008E15A4" w:rsidRDefault="000B75B6" w:rsidP="0042202B">
            <w:pPr>
              <w:rPr>
                <w:rFonts w:cstheme="minorHAnsi"/>
                <w:b/>
              </w:rPr>
            </w:pPr>
            <w:r w:rsidRPr="008E15A4">
              <w:rPr>
                <w:rFonts w:cstheme="minorHAnsi"/>
                <w:b/>
              </w:rPr>
              <w:t>75</w:t>
            </w:r>
          </w:p>
        </w:tc>
        <w:tc>
          <w:tcPr>
            <w:tcW w:w="993" w:type="dxa"/>
          </w:tcPr>
          <w:p w14:paraId="52913223" w14:textId="77777777" w:rsidR="000B75B6" w:rsidRPr="008E15A4" w:rsidRDefault="000B75B6" w:rsidP="0042202B">
            <w:pPr>
              <w:rPr>
                <w:rFonts w:cstheme="minorHAnsi"/>
                <w:b/>
              </w:rPr>
            </w:pPr>
            <w:r w:rsidRPr="008E15A4">
              <w:rPr>
                <w:rFonts w:cstheme="minorHAnsi"/>
                <w:b/>
              </w:rPr>
              <w:t>MC</w:t>
            </w:r>
          </w:p>
        </w:tc>
        <w:tc>
          <w:tcPr>
            <w:tcW w:w="1701" w:type="dxa"/>
          </w:tcPr>
          <w:p w14:paraId="273D3E49" w14:textId="77777777" w:rsidR="000B75B6" w:rsidRPr="008E15A4" w:rsidRDefault="000B75B6" w:rsidP="0042202B">
            <w:pPr>
              <w:rPr>
                <w:rFonts w:cstheme="minorHAnsi"/>
                <w:b/>
              </w:rPr>
            </w:pPr>
            <w:r w:rsidRPr="008E15A4">
              <w:rPr>
                <w:rFonts w:cstheme="minorHAnsi"/>
                <w:b/>
              </w:rPr>
              <w:t>Art. 80b ust. 1  PRD</w:t>
            </w:r>
          </w:p>
        </w:tc>
        <w:tc>
          <w:tcPr>
            <w:tcW w:w="5953" w:type="dxa"/>
          </w:tcPr>
          <w:p w14:paraId="738B3AA0" w14:textId="77777777" w:rsidR="000B75B6" w:rsidRPr="008E15A4" w:rsidRDefault="000B75B6" w:rsidP="0042202B">
            <w:pPr>
              <w:rPr>
                <w:rFonts w:cstheme="minorHAnsi"/>
                <w:b/>
              </w:rPr>
            </w:pPr>
            <w:r w:rsidRPr="008E15A4">
              <w:rPr>
                <w:rFonts w:cstheme="minorHAnsi"/>
                <w:b/>
              </w:rPr>
              <w:t xml:space="preserve">Proponuje się nadać pkt 24 następujące brzmienie:  </w:t>
            </w:r>
          </w:p>
          <w:p w14:paraId="3F551099" w14:textId="77777777" w:rsidR="000B75B6" w:rsidRPr="008E15A4" w:rsidRDefault="000B75B6" w:rsidP="0042202B">
            <w:pPr>
              <w:rPr>
                <w:rFonts w:cstheme="minorHAnsi"/>
                <w:b/>
              </w:rPr>
            </w:pPr>
            <w:bookmarkStart w:id="52" w:name="_Hlk219123969"/>
            <w:r w:rsidRPr="008E15A4">
              <w:rPr>
                <w:rFonts w:cstheme="minorHAnsi"/>
                <w:b/>
              </w:rPr>
              <w:t xml:space="preserve">–   po pkt 23 dodaje się pkt 24 w brzmieniu: </w:t>
            </w:r>
          </w:p>
          <w:p w14:paraId="3D6A9CD1" w14:textId="025F1702" w:rsidR="000B75B6" w:rsidRPr="008E15A4" w:rsidRDefault="000B75B6" w:rsidP="0042202B">
            <w:pPr>
              <w:rPr>
                <w:rFonts w:cstheme="minorHAnsi"/>
                <w:b/>
              </w:rPr>
            </w:pPr>
            <w:r w:rsidRPr="008E15A4">
              <w:rPr>
                <w:rFonts w:cstheme="minorHAnsi"/>
                <w:b/>
              </w:rPr>
              <w:t>„24) o pojazdach, o których mowa  w art. 71 ust. 5b, które przekroczyły granicę Rzeczypospolitej Polskiej.”.</w:t>
            </w:r>
            <w:bookmarkEnd w:id="52"/>
          </w:p>
        </w:tc>
        <w:tc>
          <w:tcPr>
            <w:tcW w:w="3827" w:type="dxa"/>
          </w:tcPr>
          <w:p w14:paraId="3E0ED298" w14:textId="351D3A59" w:rsidR="000B75B6" w:rsidRPr="008E15A4" w:rsidRDefault="000B75B6" w:rsidP="0042202B">
            <w:pPr>
              <w:rPr>
                <w:rFonts w:cstheme="minorHAnsi"/>
                <w:b/>
              </w:rPr>
            </w:pPr>
            <w:r>
              <w:rPr>
                <w:rFonts w:cstheme="minorHAnsi"/>
                <w:b/>
              </w:rPr>
              <w:t>Zrezygnowano z wprowadzania tej zmiany w związku z uwagą MSWiA</w:t>
            </w:r>
            <w:r w:rsidRPr="008E15A4">
              <w:rPr>
                <w:rFonts w:cstheme="minorHAnsi"/>
                <w:b/>
              </w:rPr>
              <w:t xml:space="preserve"> </w:t>
            </w:r>
            <w:r>
              <w:rPr>
                <w:rFonts w:cstheme="minorHAnsi"/>
                <w:b/>
              </w:rPr>
              <w:t>(uwaga 31).</w:t>
            </w:r>
          </w:p>
        </w:tc>
        <w:tc>
          <w:tcPr>
            <w:tcW w:w="3686" w:type="dxa"/>
          </w:tcPr>
          <w:p w14:paraId="485DB86A" w14:textId="15FAC47A" w:rsidR="000B75B6" w:rsidRDefault="000B75B6" w:rsidP="0042202B">
            <w:pPr>
              <w:rPr>
                <w:rFonts w:cstheme="minorHAnsi"/>
                <w:b/>
              </w:rPr>
            </w:pPr>
            <w:r>
              <w:rPr>
                <w:rFonts w:cstheme="minorHAnsi"/>
                <w:b/>
              </w:rPr>
              <w:t xml:space="preserve">Akceptacja </w:t>
            </w:r>
          </w:p>
        </w:tc>
      </w:tr>
      <w:tr w:rsidR="000B75B6" w:rsidRPr="00F515D6" w14:paraId="1083C0CB" w14:textId="4E789339" w:rsidTr="00D76FE7">
        <w:tc>
          <w:tcPr>
            <w:tcW w:w="562" w:type="dxa"/>
          </w:tcPr>
          <w:p w14:paraId="1B091F50" w14:textId="77777777" w:rsidR="000B75B6" w:rsidRPr="00396BF3" w:rsidRDefault="000B75B6" w:rsidP="0042202B">
            <w:pPr>
              <w:rPr>
                <w:rFonts w:cstheme="minorHAnsi"/>
                <w:b/>
              </w:rPr>
            </w:pPr>
            <w:r w:rsidRPr="00396BF3">
              <w:rPr>
                <w:rFonts w:cstheme="minorHAnsi"/>
                <w:b/>
              </w:rPr>
              <w:t>76</w:t>
            </w:r>
          </w:p>
        </w:tc>
        <w:tc>
          <w:tcPr>
            <w:tcW w:w="993" w:type="dxa"/>
          </w:tcPr>
          <w:p w14:paraId="4802F470" w14:textId="77777777" w:rsidR="000B75B6" w:rsidRPr="00396BF3" w:rsidRDefault="000B75B6" w:rsidP="0042202B">
            <w:pPr>
              <w:rPr>
                <w:rFonts w:cstheme="minorHAnsi"/>
                <w:b/>
              </w:rPr>
            </w:pPr>
            <w:r w:rsidRPr="00396BF3">
              <w:rPr>
                <w:rFonts w:cstheme="minorHAnsi"/>
                <w:b/>
              </w:rPr>
              <w:t>MC</w:t>
            </w:r>
          </w:p>
        </w:tc>
        <w:tc>
          <w:tcPr>
            <w:tcW w:w="1701" w:type="dxa"/>
          </w:tcPr>
          <w:p w14:paraId="34684541" w14:textId="77777777" w:rsidR="000B75B6" w:rsidRPr="00396BF3" w:rsidRDefault="000B75B6" w:rsidP="0042202B">
            <w:pPr>
              <w:rPr>
                <w:rFonts w:cstheme="minorHAnsi"/>
                <w:b/>
              </w:rPr>
            </w:pPr>
            <w:r w:rsidRPr="00396BF3">
              <w:rPr>
                <w:rFonts w:cstheme="minorHAnsi"/>
                <w:b/>
              </w:rPr>
              <w:t>Art. 80ba PRD</w:t>
            </w:r>
          </w:p>
        </w:tc>
        <w:tc>
          <w:tcPr>
            <w:tcW w:w="5953" w:type="dxa"/>
          </w:tcPr>
          <w:p w14:paraId="73D5C56D" w14:textId="77777777" w:rsidR="000B75B6" w:rsidRPr="00396BF3" w:rsidRDefault="000B75B6" w:rsidP="0042202B">
            <w:pPr>
              <w:rPr>
                <w:rFonts w:cstheme="minorHAnsi"/>
                <w:b/>
              </w:rPr>
            </w:pPr>
            <w:r w:rsidRPr="00396BF3">
              <w:rPr>
                <w:rFonts w:cstheme="minorHAnsi"/>
                <w:b/>
              </w:rPr>
              <w:t>Proponuje się uwzględnienie zakresu danych przekazywanych o oświadczeniu do rejestracji i ewidencji pojazdu przez odpowiednio producenta, przedstawiciela producenta lub importera.</w:t>
            </w:r>
          </w:p>
          <w:p w14:paraId="1F359CEA" w14:textId="696C1E5D" w:rsidR="000B75B6" w:rsidRPr="00396BF3" w:rsidRDefault="000B75B6" w:rsidP="0042202B">
            <w:pPr>
              <w:rPr>
                <w:rFonts w:cstheme="minorHAnsi"/>
                <w:b/>
              </w:rPr>
            </w:pPr>
          </w:p>
        </w:tc>
        <w:tc>
          <w:tcPr>
            <w:tcW w:w="3827" w:type="dxa"/>
          </w:tcPr>
          <w:p w14:paraId="7CC9B338" w14:textId="190C4781" w:rsidR="000B75B6" w:rsidRPr="00780670" w:rsidRDefault="000B75B6" w:rsidP="0042202B">
            <w:pPr>
              <w:rPr>
                <w:rFonts w:cstheme="minorHAnsi"/>
                <w:b/>
              </w:rPr>
            </w:pPr>
            <w:r w:rsidRPr="00780670">
              <w:rPr>
                <w:rFonts w:cstheme="minorHAnsi"/>
                <w:b/>
              </w:rPr>
              <w:t>Uwaga uwzględniona – dodanie nowego pkt 12 w art. 80ba ust. 1:</w:t>
            </w:r>
          </w:p>
          <w:p w14:paraId="66D18FBA" w14:textId="14B54A8C" w:rsidR="000B75B6" w:rsidRPr="00780670" w:rsidRDefault="000B75B6" w:rsidP="0042202B">
            <w:pPr>
              <w:rPr>
                <w:rFonts w:cstheme="minorHAnsi"/>
                <w:b/>
                <w:i/>
              </w:rPr>
            </w:pPr>
            <w:r>
              <w:rPr>
                <w:rFonts w:cstheme="minorHAnsi"/>
                <w:b/>
                <w:i/>
              </w:rPr>
              <w:t>„</w:t>
            </w:r>
            <w:r w:rsidRPr="00780670">
              <w:rPr>
                <w:rFonts w:cstheme="minorHAnsi"/>
                <w:b/>
                <w:i/>
              </w:rPr>
              <w:t>12)</w:t>
            </w:r>
            <w:bookmarkStart w:id="53" w:name="_Hlk219124109"/>
            <w:r w:rsidRPr="00780670">
              <w:rPr>
                <w:rFonts w:cstheme="minorHAnsi"/>
                <w:b/>
                <w:i/>
              </w:rPr>
              <w:t xml:space="preserve"> przez odpowiednio producenta, przedstawiciela producenta lub importera –</w:t>
            </w:r>
            <w:r>
              <w:rPr>
                <w:rFonts w:cstheme="minorHAnsi"/>
                <w:b/>
                <w:i/>
              </w:rPr>
              <w:t xml:space="preserve"> </w:t>
            </w:r>
            <w:r w:rsidRPr="00780670">
              <w:rPr>
                <w:rFonts w:cstheme="minorHAnsi"/>
                <w:b/>
                <w:i/>
              </w:rPr>
              <w:t>w zakresie danych, o których mowa w pkt 18b;</w:t>
            </w:r>
            <w:bookmarkEnd w:id="53"/>
            <w:r>
              <w:rPr>
                <w:rFonts w:cstheme="minorHAnsi"/>
                <w:b/>
                <w:i/>
              </w:rPr>
              <w:t>”</w:t>
            </w:r>
          </w:p>
        </w:tc>
        <w:tc>
          <w:tcPr>
            <w:tcW w:w="3686" w:type="dxa"/>
          </w:tcPr>
          <w:p w14:paraId="02B4CDF3" w14:textId="33FD6A2C" w:rsidR="000B75B6" w:rsidRPr="00780670" w:rsidRDefault="000B75B6" w:rsidP="0042202B">
            <w:pPr>
              <w:rPr>
                <w:rFonts w:cstheme="minorHAnsi"/>
                <w:b/>
              </w:rPr>
            </w:pPr>
            <w:r>
              <w:rPr>
                <w:rFonts w:cstheme="minorHAnsi"/>
                <w:b/>
              </w:rPr>
              <w:t xml:space="preserve">Akceptacja </w:t>
            </w:r>
          </w:p>
        </w:tc>
      </w:tr>
      <w:tr w:rsidR="0075728B" w:rsidRPr="00F515D6" w14:paraId="495D5883" w14:textId="6D4D8764" w:rsidTr="00D76FE7">
        <w:tc>
          <w:tcPr>
            <w:tcW w:w="562" w:type="dxa"/>
          </w:tcPr>
          <w:p w14:paraId="2987E6A4" w14:textId="77777777" w:rsidR="0075728B" w:rsidRPr="00780670" w:rsidRDefault="0075728B" w:rsidP="0042202B">
            <w:pPr>
              <w:rPr>
                <w:rFonts w:cstheme="minorHAnsi"/>
                <w:b/>
              </w:rPr>
            </w:pPr>
            <w:r w:rsidRPr="00780670">
              <w:rPr>
                <w:rFonts w:cstheme="minorHAnsi"/>
                <w:b/>
              </w:rPr>
              <w:t>77</w:t>
            </w:r>
          </w:p>
        </w:tc>
        <w:tc>
          <w:tcPr>
            <w:tcW w:w="993" w:type="dxa"/>
          </w:tcPr>
          <w:p w14:paraId="5DA7F293" w14:textId="77777777" w:rsidR="0075728B" w:rsidRPr="00780670" w:rsidRDefault="0075728B" w:rsidP="0042202B">
            <w:pPr>
              <w:rPr>
                <w:rFonts w:cstheme="minorHAnsi"/>
                <w:b/>
              </w:rPr>
            </w:pPr>
            <w:r w:rsidRPr="00780670">
              <w:rPr>
                <w:rFonts w:cstheme="minorHAnsi"/>
                <w:b/>
              </w:rPr>
              <w:t>MC</w:t>
            </w:r>
          </w:p>
        </w:tc>
        <w:tc>
          <w:tcPr>
            <w:tcW w:w="1701" w:type="dxa"/>
          </w:tcPr>
          <w:p w14:paraId="0F11D8CF" w14:textId="77777777" w:rsidR="0075728B" w:rsidRPr="00780670" w:rsidRDefault="0075728B" w:rsidP="0042202B">
            <w:pPr>
              <w:rPr>
                <w:rFonts w:cstheme="minorHAnsi"/>
                <w:b/>
              </w:rPr>
            </w:pPr>
            <w:r w:rsidRPr="00780670">
              <w:rPr>
                <w:rFonts w:cstheme="minorHAnsi"/>
                <w:b/>
              </w:rPr>
              <w:t>Art. 80ba ust. 1 pkt 10  PRD</w:t>
            </w:r>
          </w:p>
        </w:tc>
        <w:tc>
          <w:tcPr>
            <w:tcW w:w="5953" w:type="dxa"/>
          </w:tcPr>
          <w:p w14:paraId="0DAEEFC3" w14:textId="77777777" w:rsidR="0075728B" w:rsidRPr="00780670" w:rsidRDefault="0075728B" w:rsidP="0042202B">
            <w:pPr>
              <w:rPr>
                <w:rFonts w:cstheme="minorHAnsi"/>
                <w:b/>
              </w:rPr>
            </w:pPr>
            <w:r w:rsidRPr="00780670">
              <w:rPr>
                <w:rFonts w:cstheme="minorHAnsi"/>
                <w:b/>
              </w:rPr>
              <w:t>W zakresie art. 80ba ust. 1 pkt 10 proponuje się zmianę przepisu w odniesieniu do zakresu danych, które do ewidencji przekazują stacje kontroli pojazdów, i uwzględnienie danych o wydanych świadectwach krajowego indywidualnego dopuszczenia pojazdu niebędącego nowym pojazdem oraz o dokumentach identyfikacyjnych pojazdu oraz o zaświadczeniach o braku spełnienia wymagań do wydania świadectwa krajowego indywidualnego dopuszczenia pojazdu niebędącego nowym pojazdem.</w:t>
            </w:r>
          </w:p>
          <w:p w14:paraId="3AB723CA" w14:textId="6B03D929" w:rsidR="0075728B" w:rsidRPr="00780670" w:rsidRDefault="0075728B" w:rsidP="0042202B">
            <w:pPr>
              <w:rPr>
                <w:rFonts w:cstheme="minorHAnsi"/>
                <w:b/>
              </w:rPr>
            </w:pPr>
          </w:p>
        </w:tc>
        <w:tc>
          <w:tcPr>
            <w:tcW w:w="3827" w:type="dxa"/>
          </w:tcPr>
          <w:p w14:paraId="1EE4C4C4" w14:textId="7B1EA59D" w:rsidR="0075728B" w:rsidRPr="00780670" w:rsidRDefault="0075728B" w:rsidP="0042202B">
            <w:pPr>
              <w:rPr>
                <w:rFonts w:cstheme="minorHAnsi"/>
                <w:b/>
              </w:rPr>
            </w:pPr>
            <w:r w:rsidRPr="00780670">
              <w:rPr>
                <w:rFonts w:cstheme="minorHAnsi"/>
                <w:b/>
              </w:rPr>
              <w:t>Uwaga uwzględniona poprzez rozszerzenie art. 80b i 80ba o przekazywanie przez s</w:t>
            </w:r>
            <w:r>
              <w:rPr>
                <w:rFonts w:cstheme="minorHAnsi"/>
                <w:b/>
              </w:rPr>
              <w:t xml:space="preserve">tacje </w:t>
            </w:r>
            <w:r w:rsidRPr="00780670">
              <w:rPr>
                <w:rFonts w:cstheme="minorHAnsi"/>
                <w:b/>
              </w:rPr>
              <w:t>k</w:t>
            </w:r>
            <w:r>
              <w:rPr>
                <w:rFonts w:cstheme="minorHAnsi"/>
                <w:b/>
              </w:rPr>
              <w:t xml:space="preserve">ontroli </w:t>
            </w:r>
            <w:r w:rsidRPr="00780670">
              <w:rPr>
                <w:rFonts w:cstheme="minorHAnsi"/>
                <w:b/>
              </w:rPr>
              <w:t>p</w:t>
            </w:r>
            <w:r>
              <w:rPr>
                <w:rFonts w:cstheme="minorHAnsi"/>
                <w:b/>
              </w:rPr>
              <w:t>ojazdów</w:t>
            </w:r>
            <w:r w:rsidRPr="00780670">
              <w:rPr>
                <w:rFonts w:cstheme="minorHAnsi"/>
                <w:b/>
              </w:rPr>
              <w:t xml:space="preserve"> informacji o świadectwach krajowego indywidualnego dopuszczenia pojazdu niebędącego nowym pojazdem i zaświadczeniach o braku spełnienia wymagań do wydania świadectwa krajowego indywidualnego dopuszczenia pojazdu niebędącego nowym pojazdem.</w:t>
            </w:r>
          </w:p>
        </w:tc>
        <w:tc>
          <w:tcPr>
            <w:tcW w:w="3686" w:type="dxa"/>
          </w:tcPr>
          <w:p w14:paraId="2417E69C" w14:textId="77777777" w:rsidR="0075728B" w:rsidRDefault="0075728B" w:rsidP="0042202B">
            <w:pPr>
              <w:rPr>
                <w:rFonts w:cstheme="minorHAnsi"/>
                <w:b/>
              </w:rPr>
            </w:pPr>
            <w:r>
              <w:rPr>
                <w:rFonts w:cstheme="minorHAnsi"/>
                <w:b/>
              </w:rPr>
              <w:t>Do ustalenia na spotkaniu z MC</w:t>
            </w:r>
          </w:p>
          <w:p w14:paraId="6949CB5E" w14:textId="77777777" w:rsidR="00F96EBD" w:rsidRDefault="00F96EBD" w:rsidP="0042202B">
            <w:pPr>
              <w:rPr>
                <w:rFonts w:cstheme="minorHAnsi"/>
                <w:b/>
              </w:rPr>
            </w:pPr>
          </w:p>
          <w:p w14:paraId="524FF64C" w14:textId="4F0BD367" w:rsidR="00F96EBD" w:rsidRPr="00780670" w:rsidRDefault="00F96EBD" w:rsidP="0042202B">
            <w:pPr>
              <w:rPr>
                <w:rFonts w:cstheme="minorHAnsi"/>
                <w:b/>
              </w:rPr>
            </w:pPr>
            <w:r w:rsidRPr="00F96EBD">
              <w:rPr>
                <w:rFonts w:cstheme="minorHAnsi"/>
                <w:b/>
                <w:color w:val="0070C0"/>
              </w:rPr>
              <w:t>Wypracowano z COI zmiany.</w:t>
            </w:r>
          </w:p>
        </w:tc>
      </w:tr>
      <w:tr w:rsidR="0075728B" w:rsidRPr="00F515D6" w14:paraId="2B920FC9" w14:textId="60A8B2D3" w:rsidTr="00D76FE7">
        <w:tc>
          <w:tcPr>
            <w:tcW w:w="562" w:type="dxa"/>
          </w:tcPr>
          <w:p w14:paraId="1D19741B" w14:textId="77777777" w:rsidR="0075728B" w:rsidRPr="00396BF3" w:rsidRDefault="0075728B" w:rsidP="0042202B">
            <w:pPr>
              <w:rPr>
                <w:rFonts w:cstheme="minorHAnsi"/>
                <w:b/>
              </w:rPr>
            </w:pPr>
            <w:r w:rsidRPr="00396BF3">
              <w:rPr>
                <w:rFonts w:cstheme="minorHAnsi"/>
                <w:b/>
              </w:rPr>
              <w:t>78</w:t>
            </w:r>
          </w:p>
        </w:tc>
        <w:tc>
          <w:tcPr>
            <w:tcW w:w="993" w:type="dxa"/>
          </w:tcPr>
          <w:p w14:paraId="7487F377" w14:textId="77777777" w:rsidR="0075728B" w:rsidRPr="00396BF3" w:rsidRDefault="0075728B" w:rsidP="0042202B">
            <w:pPr>
              <w:rPr>
                <w:rFonts w:cstheme="minorHAnsi"/>
                <w:b/>
              </w:rPr>
            </w:pPr>
            <w:r w:rsidRPr="00396BF3">
              <w:rPr>
                <w:rFonts w:cstheme="minorHAnsi"/>
                <w:b/>
              </w:rPr>
              <w:t>MC</w:t>
            </w:r>
          </w:p>
        </w:tc>
        <w:tc>
          <w:tcPr>
            <w:tcW w:w="1701" w:type="dxa"/>
          </w:tcPr>
          <w:p w14:paraId="1E941D42" w14:textId="77777777" w:rsidR="0075728B" w:rsidRPr="00396BF3" w:rsidRDefault="0075728B" w:rsidP="0042202B">
            <w:pPr>
              <w:rPr>
                <w:rFonts w:cstheme="minorHAnsi"/>
                <w:b/>
              </w:rPr>
            </w:pPr>
            <w:r w:rsidRPr="00396BF3">
              <w:rPr>
                <w:rFonts w:cstheme="minorHAnsi"/>
                <w:b/>
              </w:rPr>
              <w:t>Art. 80ba ust. 1a  PRD</w:t>
            </w:r>
          </w:p>
        </w:tc>
        <w:tc>
          <w:tcPr>
            <w:tcW w:w="5953" w:type="dxa"/>
          </w:tcPr>
          <w:p w14:paraId="33333EB9" w14:textId="5C5E3FFF" w:rsidR="0075728B" w:rsidRPr="00396BF3" w:rsidRDefault="0075728B" w:rsidP="0042202B">
            <w:pPr>
              <w:rPr>
                <w:rFonts w:cstheme="minorHAnsi"/>
                <w:b/>
              </w:rPr>
            </w:pPr>
            <w:r w:rsidRPr="00396BF3">
              <w:rPr>
                <w:rFonts w:cstheme="minorHAnsi"/>
                <w:b/>
              </w:rPr>
              <w:t>Proponuje się</w:t>
            </w:r>
            <w:r>
              <w:rPr>
                <w:rFonts w:cstheme="minorHAnsi"/>
                <w:b/>
              </w:rPr>
              <w:t xml:space="preserve"> </w:t>
            </w:r>
            <w:r w:rsidRPr="00396BF3">
              <w:rPr>
                <w:rFonts w:cstheme="minorHAnsi"/>
                <w:b/>
              </w:rPr>
              <w:t>uwzględnienie pkt 24 w ust. 1a</w:t>
            </w:r>
          </w:p>
          <w:p w14:paraId="66902A76" w14:textId="77777777" w:rsidR="0075728B" w:rsidRPr="00396BF3" w:rsidRDefault="0075728B" w:rsidP="0042202B">
            <w:pPr>
              <w:rPr>
                <w:rFonts w:cstheme="minorHAnsi"/>
                <w:b/>
              </w:rPr>
            </w:pPr>
            <w:r w:rsidRPr="00396BF3">
              <w:rPr>
                <w:rFonts w:cstheme="minorHAnsi"/>
                <w:b/>
              </w:rPr>
              <w:t>„1a. Dane, o których mowa w art. 80b ust. 1 pkt 6 lit. e i f, pkt 7 lit. a, pkt 8–18a i 20–24, mogą zawierać dodatkowo dane uzupełniane automatycznie przez system teleinformatyczny obsługujący ewidencję.”.</w:t>
            </w:r>
          </w:p>
          <w:p w14:paraId="4FFA1F90" w14:textId="0B30B4AE" w:rsidR="0075728B" w:rsidRPr="00396BF3" w:rsidRDefault="0075728B" w:rsidP="0042202B">
            <w:pPr>
              <w:rPr>
                <w:rFonts w:cstheme="minorHAnsi"/>
                <w:b/>
              </w:rPr>
            </w:pPr>
          </w:p>
        </w:tc>
        <w:tc>
          <w:tcPr>
            <w:tcW w:w="3827" w:type="dxa"/>
          </w:tcPr>
          <w:p w14:paraId="5ACF610B" w14:textId="00AB1EDC" w:rsidR="0075728B" w:rsidRPr="001332C3" w:rsidRDefault="0075728B" w:rsidP="0042202B">
            <w:pPr>
              <w:rPr>
                <w:rFonts w:cstheme="minorHAnsi"/>
                <w:b/>
              </w:rPr>
            </w:pPr>
            <w:r w:rsidRPr="001332C3">
              <w:rPr>
                <w:rFonts w:cstheme="minorHAnsi"/>
                <w:b/>
              </w:rPr>
              <w:t xml:space="preserve">Uwaga uwzględniona. </w:t>
            </w:r>
          </w:p>
          <w:p w14:paraId="02554B51" w14:textId="3D543BA7" w:rsidR="0075728B" w:rsidRDefault="0075728B" w:rsidP="0042202B">
            <w:pPr>
              <w:pStyle w:val="ZLITUSTzmustliter"/>
              <w:spacing w:line="240" w:lineRule="auto"/>
              <w:ind w:left="0" w:firstLine="0"/>
              <w:jc w:val="left"/>
              <w:rPr>
                <w:rFonts w:asciiTheme="minorHAnsi" w:hAnsiTheme="minorHAnsi" w:cstheme="minorHAnsi"/>
                <w:b/>
                <w:i/>
                <w:sz w:val="22"/>
                <w:szCs w:val="22"/>
              </w:rPr>
            </w:pPr>
            <w:r w:rsidRPr="001332C3">
              <w:rPr>
                <w:rFonts w:asciiTheme="minorHAnsi" w:hAnsiTheme="minorHAnsi" w:cstheme="minorHAnsi"/>
                <w:b/>
                <w:i/>
                <w:sz w:val="22"/>
                <w:szCs w:val="22"/>
              </w:rPr>
              <w:t>„1a. Dane, o których mowa w art. 80b ust. 1 pkt 6 lit. e i f, pkt 7 lit. a, pkt 8–18e i 20–2</w:t>
            </w:r>
            <w:r>
              <w:rPr>
                <w:rFonts w:asciiTheme="minorHAnsi" w:hAnsiTheme="minorHAnsi" w:cstheme="minorHAnsi"/>
                <w:b/>
                <w:i/>
                <w:sz w:val="22"/>
                <w:szCs w:val="22"/>
              </w:rPr>
              <w:t>3</w:t>
            </w:r>
            <w:r w:rsidRPr="001332C3">
              <w:rPr>
                <w:rFonts w:asciiTheme="minorHAnsi" w:hAnsiTheme="minorHAnsi" w:cstheme="minorHAnsi"/>
                <w:b/>
                <w:i/>
                <w:sz w:val="22"/>
                <w:szCs w:val="22"/>
              </w:rPr>
              <w:t>, mogą zawierać dodatkowo dane uzupełniane automatycznie przez system teleinformatyczny obsługujący ewidencję.”</w:t>
            </w:r>
          </w:p>
          <w:p w14:paraId="4999C7C8" w14:textId="5394D797" w:rsidR="0075728B" w:rsidRPr="001332C3" w:rsidRDefault="0075728B" w:rsidP="0042202B">
            <w:pPr>
              <w:pStyle w:val="ZLITUSTzmustliter"/>
              <w:spacing w:line="240" w:lineRule="auto"/>
              <w:ind w:left="0" w:firstLine="0"/>
              <w:jc w:val="left"/>
              <w:rPr>
                <w:rFonts w:asciiTheme="minorHAnsi" w:hAnsiTheme="minorHAnsi" w:cstheme="minorHAnsi"/>
                <w:b/>
                <w:i/>
                <w:sz w:val="22"/>
                <w:szCs w:val="22"/>
              </w:rPr>
            </w:pPr>
            <w:r>
              <w:rPr>
                <w:rFonts w:asciiTheme="minorHAnsi" w:hAnsiTheme="minorHAnsi" w:cstheme="minorHAnsi"/>
                <w:b/>
                <w:i/>
                <w:sz w:val="22"/>
                <w:szCs w:val="22"/>
              </w:rPr>
              <w:t>(w związku z rezygnacją dodawania art. 80b ust. 1 pkt 24)</w:t>
            </w:r>
          </w:p>
        </w:tc>
        <w:tc>
          <w:tcPr>
            <w:tcW w:w="3686" w:type="dxa"/>
          </w:tcPr>
          <w:p w14:paraId="5FA1C161" w14:textId="77777777" w:rsidR="0075728B" w:rsidRDefault="0075728B" w:rsidP="0042202B">
            <w:pPr>
              <w:rPr>
                <w:rFonts w:cstheme="minorHAnsi"/>
                <w:b/>
              </w:rPr>
            </w:pPr>
            <w:r>
              <w:rPr>
                <w:rFonts w:cstheme="minorHAnsi"/>
                <w:b/>
              </w:rPr>
              <w:t>Akceptacja + do korekty w trakcie spotkania z MC</w:t>
            </w:r>
          </w:p>
          <w:p w14:paraId="07BED396" w14:textId="77777777" w:rsidR="00F96EBD" w:rsidRDefault="00F96EBD" w:rsidP="0042202B">
            <w:pPr>
              <w:rPr>
                <w:rFonts w:cstheme="minorHAnsi"/>
                <w:b/>
              </w:rPr>
            </w:pPr>
          </w:p>
          <w:p w14:paraId="42E1341A" w14:textId="3EC7C5C2" w:rsidR="00F96EBD" w:rsidRPr="001332C3" w:rsidRDefault="00F96EBD" w:rsidP="0042202B">
            <w:pPr>
              <w:rPr>
                <w:rFonts w:cstheme="minorHAnsi"/>
                <w:b/>
              </w:rPr>
            </w:pPr>
            <w:r w:rsidRPr="00F96EBD">
              <w:rPr>
                <w:rFonts w:cstheme="minorHAnsi"/>
                <w:b/>
                <w:color w:val="0070C0"/>
              </w:rPr>
              <w:t>Wypracowano z COI zmiany.</w:t>
            </w:r>
          </w:p>
        </w:tc>
      </w:tr>
      <w:tr w:rsidR="0075728B" w:rsidRPr="00F515D6" w14:paraId="3034BD62" w14:textId="54988F0E" w:rsidTr="00D76FE7">
        <w:tc>
          <w:tcPr>
            <w:tcW w:w="562" w:type="dxa"/>
          </w:tcPr>
          <w:p w14:paraId="1D745A7A" w14:textId="77777777" w:rsidR="0075728B" w:rsidRPr="005A611F" w:rsidRDefault="0075728B" w:rsidP="0042202B">
            <w:pPr>
              <w:rPr>
                <w:rFonts w:cstheme="minorHAnsi"/>
                <w:b/>
              </w:rPr>
            </w:pPr>
            <w:r w:rsidRPr="005A611F">
              <w:rPr>
                <w:rFonts w:cstheme="minorHAnsi"/>
                <w:b/>
              </w:rPr>
              <w:t>79</w:t>
            </w:r>
          </w:p>
        </w:tc>
        <w:tc>
          <w:tcPr>
            <w:tcW w:w="993" w:type="dxa"/>
          </w:tcPr>
          <w:p w14:paraId="13BFC69A" w14:textId="77777777" w:rsidR="0075728B" w:rsidRPr="005A611F" w:rsidRDefault="0075728B" w:rsidP="0042202B">
            <w:pPr>
              <w:rPr>
                <w:rFonts w:cstheme="minorHAnsi"/>
                <w:b/>
              </w:rPr>
            </w:pPr>
            <w:r w:rsidRPr="005A611F">
              <w:rPr>
                <w:rFonts w:cstheme="minorHAnsi"/>
                <w:b/>
              </w:rPr>
              <w:t>MC</w:t>
            </w:r>
          </w:p>
        </w:tc>
        <w:tc>
          <w:tcPr>
            <w:tcW w:w="1701" w:type="dxa"/>
          </w:tcPr>
          <w:p w14:paraId="3F32B1FA" w14:textId="77777777" w:rsidR="0075728B" w:rsidRPr="005A611F" w:rsidRDefault="0075728B" w:rsidP="0042202B">
            <w:pPr>
              <w:rPr>
                <w:rFonts w:cstheme="minorHAnsi"/>
                <w:b/>
              </w:rPr>
            </w:pPr>
            <w:r w:rsidRPr="005A611F">
              <w:rPr>
                <w:rFonts w:cstheme="minorHAnsi"/>
                <w:b/>
              </w:rPr>
              <w:t xml:space="preserve">Utrzymanie w mocy przepisów </w:t>
            </w:r>
          </w:p>
        </w:tc>
        <w:tc>
          <w:tcPr>
            <w:tcW w:w="5953" w:type="dxa"/>
          </w:tcPr>
          <w:p w14:paraId="4B06C364" w14:textId="77777777" w:rsidR="0075728B" w:rsidRPr="005A611F" w:rsidRDefault="0075728B" w:rsidP="0042202B">
            <w:pPr>
              <w:rPr>
                <w:rFonts w:cstheme="minorHAnsi"/>
                <w:b/>
              </w:rPr>
            </w:pPr>
            <w:r w:rsidRPr="005A611F">
              <w:rPr>
                <w:rFonts w:cstheme="minorHAnsi"/>
                <w:b/>
              </w:rPr>
              <w:t>Wobec zmian wprowadzonych niniejszym projektem proponuje się utrzymanie w mocy przepisów wydanych na podstawie art. 80b ust. 2, art. 80bb ust. 4 oraz art. 80cf ust. 2 – ustawy – Prawo  o ruchu drogowym przez okres co najmniej 12 miesięcy.</w:t>
            </w:r>
          </w:p>
          <w:p w14:paraId="16E287DC" w14:textId="43B9D3FF" w:rsidR="0075728B" w:rsidRPr="005A611F" w:rsidRDefault="0075728B" w:rsidP="0042202B">
            <w:pPr>
              <w:rPr>
                <w:rFonts w:cstheme="minorHAnsi"/>
                <w:b/>
              </w:rPr>
            </w:pPr>
          </w:p>
        </w:tc>
        <w:tc>
          <w:tcPr>
            <w:tcW w:w="3827" w:type="dxa"/>
          </w:tcPr>
          <w:p w14:paraId="33609E69" w14:textId="4672FE94" w:rsidR="0075728B" w:rsidRPr="005A611F" w:rsidRDefault="0075728B" w:rsidP="0042202B">
            <w:pPr>
              <w:rPr>
                <w:rFonts w:cstheme="minorHAnsi"/>
                <w:b/>
              </w:rPr>
            </w:pPr>
            <w:r>
              <w:rPr>
                <w:rFonts w:cstheme="minorHAnsi"/>
                <w:b/>
              </w:rPr>
              <w:t xml:space="preserve">Uwaga do uwzględnienia </w:t>
            </w:r>
            <w:r w:rsidRPr="005A611F">
              <w:rPr>
                <w:rFonts w:cstheme="minorHAnsi"/>
                <w:b/>
              </w:rPr>
              <w:t>w zakresie</w:t>
            </w:r>
            <w:r w:rsidRPr="005A611F">
              <w:rPr>
                <w:b/>
              </w:rPr>
              <w:t xml:space="preserve"> </w:t>
            </w:r>
            <w:r w:rsidRPr="005A611F">
              <w:rPr>
                <w:rFonts w:cstheme="minorHAnsi"/>
                <w:b/>
              </w:rPr>
              <w:t>art. 80b ust. 2 związan</w:t>
            </w:r>
            <w:r>
              <w:rPr>
                <w:rFonts w:cstheme="minorHAnsi"/>
                <w:b/>
              </w:rPr>
              <w:t>ego</w:t>
            </w:r>
            <w:r w:rsidRPr="005A611F">
              <w:rPr>
                <w:rFonts w:cstheme="minorHAnsi"/>
                <w:b/>
              </w:rPr>
              <w:t xml:space="preserve"> ze zmi</w:t>
            </w:r>
            <w:r>
              <w:rPr>
                <w:rFonts w:cstheme="minorHAnsi"/>
                <w:b/>
              </w:rPr>
              <w:t xml:space="preserve">aną </w:t>
            </w:r>
            <w:r w:rsidRPr="005A611F">
              <w:rPr>
                <w:rFonts w:cstheme="minorHAnsi"/>
                <w:b/>
              </w:rPr>
              <w:t>delegacji ustawowej do wydania przez MC rozp</w:t>
            </w:r>
            <w:r>
              <w:rPr>
                <w:rFonts w:cstheme="minorHAnsi"/>
                <w:b/>
              </w:rPr>
              <w:t xml:space="preserve">orządzenia. </w:t>
            </w:r>
            <w:r w:rsidRPr="005A611F">
              <w:rPr>
                <w:rFonts w:cstheme="minorHAnsi"/>
                <w:b/>
              </w:rPr>
              <w:t>Zasadnym jest zapewnić okres na dostosowanie.</w:t>
            </w:r>
            <w:r>
              <w:rPr>
                <w:rFonts w:cstheme="minorHAnsi"/>
                <w:b/>
              </w:rPr>
              <w:t xml:space="preserve"> Propozycja brzmienia do ustalenia w trakcie konferencji:</w:t>
            </w:r>
          </w:p>
          <w:p w14:paraId="1CA9E2CF" w14:textId="130F6D32" w:rsidR="0075728B" w:rsidRPr="005A611F" w:rsidRDefault="0075728B" w:rsidP="0042202B">
            <w:pPr>
              <w:rPr>
                <w:rFonts w:cstheme="minorHAnsi"/>
                <w:b/>
                <w:i/>
              </w:rPr>
            </w:pPr>
            <w:r w:rsidRPr="005A611F">
              <w:rPr>
                <w:rFonts w:cstheme="minorHAnsi"/>
                <w:b/>
                <w:i/>
              </w:rPr>
              <w:t xml:space="preserve">„Art. </w:t>
            </w:r>
            <w:r>
              <w:rPr>
                <w:rFonts w:cstheme="minorHAnsi"/>
                <w:b/>
                <w:i/>
              </w:rPr>
              <w:t>14</w:t>
            </w:r>
            <w:r w:rsidRPr="005A611F">
              <w:rPr>
                <w:rFonts w:cstheme="minorHAnsi"/>
                <w:b/>
                <w:i/>
              </w:rPr>
              <w:t>. Dotychczasowe przepisy wykonawcze wydane na podstawie art. 80b ust. 2 ustawy zmienianej w art. 2 zachowują moc do dnia wejścia w życie nowych przepisów wykonawczych wydanych na podstawie art. 80b ust. 2 ustawy zmienianej w art. 2, jednak nie dłużej niż przez 12 miesięcy od dnia wejścia w życie niniejszej ustawy, i mogą być zmieniane na podstawie art. 80b ust. 2 ustawy zmienianej w art. 2 w brzmieniu</w:t>
            </w:r>
          </w:p>
          <w:p w14:paraId="3C6EEFAC" w14:textId="77777777" w:rsidR="0075728B" w:rsidRPr="005A611F" w:rsidRDefault="0075728B" w:rsidP="0042202B">
            <w:pPr>
              <w:rPr>
                <w:rFonts w:cstheme="minorHAnsi"/>
                <w:b/>
              </w:rPr>
            </w:pPr>
            <w:r w:rsidRPr="005A611F">
              <w:rPr>
                <w:rFonts w:cstheme="minorHAnsi"/>
                <w:b/>
                <w:i/>
              </w:rPr>
              <w:t>dotychczasowym.”</w:t>
            </w:r>
          </w:p>
          <w:p w14:paraId="06ED7679" w14:textId="77777777" w:rsidR="0075728B" w:rsidRPr="005A611F" w:rsidRDefault="0075728B" w:rsidP="0042202B">
            <w:pPr>
              <w:rPr>
                <w:rFonts w:cstheme="minorHAnsi"/>
                <w:b/>
              </w:rPr>
            </w:pPr>
          </w:p>
          <w:p w14:paraId="0B82B3B4" w14:textId="50632713" w:rsidR="0075728B" w:rsidRPr="005A611F" w:rsidRDefault="0075728B" w:rsidP="0042202B">
            <w:pPr>
              <w:rPr>
                <w:rFonts w:cstheme="minorHAnsi"/>
                <w:b/>
              </w:rPr>
            </w:pPr>
            <w:r w:rsidRPr="005A611F">
              <w:rPr>
                <w:rFonts w:cstheme="minorHAnsi"/>
                <w:b/>
              </w:rPr>
              <w:t xml:space="preserve">Projekt nie wprowadza zmian w art. 80bb ust. 4 oraz art. 80cf ust. 2 </w:t>
            </w:r>
            <w:r>
              <w:rPr>
                <w:rFonts w:cstheme="minorHAnsi"/>
                <w:b/>
              </w:rPr>
              <w:t>PRD</w:t>
            </w:r>
            <w:r w:rsidRPr="005A611F">
              <w:rPr>
                <w:rFonts w:cstheme="minorHAnsi"/>
                <w:b/>
              </w:rPr>
              <w:t>, dlatego w tym zakresie uwaga jest niezasadna.</w:t>
            </w:r>
          </w:p>
        </w:tc>
        <w:tc>
          <w:tcPr>
            <w:tcW w:w="3686" w:type="dxa"/>
          </w:tcPr>
          <w:p w14:paraId="7427E3C9" w14:textId="6DE8577A" w:rsidR="0075728B" w:rsidRDefault="0075728B" w:rsidP="0042202B">
            <w:pPr>
              <w:rPr>
                <w:rFonts w:cstheme="minorHAnsi"/>
                <w:b/>
              </w:rPr>
            </w:pPr>
            <w:r>
              <w:rPr>
                <w:rFonts w:cstheme="minorHAnsi"/>
                <w:b/>
              </w:rPr>
              <w:t xml:space="preserve">Akceptacja - 12 mcy </w:t>
            </w:r>
            <w:r w:rsidR="00020A50">
              <w:rPr>
                <w:rFonts w:cstheme="minorHAnsi"/>
                <w:b/>
              </w:rPr>
              <w:t>– do rozmowy w trakcie spotkania brzmienie art. 14</w:t>
            </w:r>
          </w:p>
          <w:p w14:paraId="619E2D55" w14:textId="77777777" w:rsidR="00F96EBD" w:rsidRDefault="00F96EBD" w:rsidP="0042202B">
            <w:pPr>
              <w:rPr>
                <w:rFonts w:cstheme="minorHAnsi"/>
                <w:b/>
              </w:rPr>
            </w:pPr>
          </w:p>
          <w:p w14:paraId="440A5F00" w14:textId="77777777" w:rsidR="00F96EBD" w:rsidRDefault="00F96EBD" w:rsidP="0042202B">
            <w:pPr>
              <w:rPr>
                <w:rFonts w:cstheme="minorHAnsi"/>
                <w:b/>
              </w:rPr>
            </w:pPr>
          </w:p>
          <w:p w14:paraId="7BB4DC1B" w14:textId="5CEB5E90" w:rsidR="00F96EBD" w:rsidRDefault="00F96EBD" w:rsidP="0042202B">
            <w:pPr>
              <w:rPr>
                <w:rFonts w:cstheme="minorHAnsi"/>
                <w:b/>
              </w:rPr>
            </w:pPr>
            <w:r w:rsidRPr="00F96EBD">
              <w:rPr>
                <w:rFonts w:cstheme="minorHAnsi"/>
                <w:b/>
                <w:color w:val="0070C0"/>
              </w:rPr>
              <w:t>Wypracowano z COI zmiany.</w:t>
            </w:r>
          </w:p>
        </w:tc>
      </w:tr>
      <w:tr w:rsidR="0075728B" w:rsidRPr="00C312EF" w14:paraId="77D53560" w14:textId="646CF7B6" w:rsidTr="00D76FE7">
        <w:tc>
          <w:tcPr>
            <w:tcW w:w="562" w:type="dxa"/>
          </w:tcPr>
          <w:p w14:paraId="72522CE5" w14:textId="77777777" w:rsidR="0075728B" w:rsidRPr="00C312EF" w:rsidRDefault="0075728B" w:rsidP="0042202B">
            <w:pPr>
              <w:rPr>
                <w:rFonts w:cstheme="minorHAnsi"/>
                <w:b/>
              </w:rPr>
            </w:pPr>
            <w:r w:rsidRPr="00C312EF">
              <w:rPr>
                <w:rFonts w:cstheme="minorHAnsi"/>
                <w:b/>
              </w:rPr>
              <w:t>80</w:t>
            </w:r>
          </w:p>
        </w:tc>
        <w:tc>
          <w:tcPr>
            <w:tcW w:w="993" w:type="dxa"/>
          </w:tcPr>
          <w:p w14:paraId="2751AFBA" w14:textId="77777777" w:rsidR="0075728B" w:rsidRDefault="0075728B" w:rsidP="0042202B">
            <w:pPr>
              <w:rPr>
                <w:rFonts w:cstheme="minorHAnsi"/>
                <w:b/>
              </w:rPr>
            </w:pPr>
            <w:r w:rsidRPr="00C312EF">
              <w:rPr>
                <w:rFonts w:cstheme="minorHAnsi"/>
                <w:b/>
              </w:rPr>
              <w:t>MC</w:t>
            </w:r>
          </w:p>
          <w:p w14:paraId="5591344B" w14:textId="5E94130A" w:rsidR="0075728B" w:rsidRPr="00C9644E" w:rsidRDefault="0075728B" w:rsidP="0042202B">
            <w:pPr>
              <w:rPr>
                <w:rFonts w:cstheme="minorHAnsi"/>
                <w:b/>
                <w:color w:val="00B050"/>
              </w:rPr>
            </w:pPr>
            <w:r>
              <w:rPr>
                <w:rFonts w:cstheme="minorHAnsi"/>
                <w:b/>
                <w:color w:val="00B050"/>
              </w:rPr>
              <w:t>+uwaga 26 RCL</w:t>
            </w:r>
          </w:p>
        </w:tc>
        <w:tc>
          <w:tcPr>
            <w:tcW w:w="1701" w:type="dxa"/>
          </w:tcPr>
          <w:p w14:paraId="3E8FF8B0" w14:textId="77777777" w:rsidR="0075728B" w:rsidRPr="00C312EF" w:rsidRDefault="0075728B" w:rsidP="0042202B">
            <w:pPr>
              <w:rPr>
                <w:rFonts w:cstheme="minorHAnsi"/>
                <w:b/>
              </w:rPr>
            </w:pPr>
            <w:r w:rsidRPr="00C312EF">
              <w:rPr>
                <w:rFonts w:cstheme="minorHAnsi"/>
                <w:b/>
              </w:rPr>
              <w:t>Art. 14 UZ</w:t>
            </w:r>
          </w:p>
        </w:tc>
        <w:tc>
          <w:tcPr>
            <w:tcW w:w="5953" w:type="dxa"/>
          </w:tcPr>
          <w:p w14:paraId="344450CE" w14:textId="77777777" w:rsidR="0075728B" w:rsidRPr="00C312EF" w:rsidRDefault="0075728B" w:rsidP="0042202B">
            <w:pPr>
              <w:rPr>
                <w:rFonts w:cstheme="minorHAnsi"/>
                <w:b/>
              </w:rPr>
            </w:pPr>
            <w:r w:rsidRPr="00C312EF">
              <w:rPr>
                <w:rFonts w:cstheme="minorHAnsi"/>
                <w:b/>
              </w:rPr>
              <w:t>Projekt przewiduje, że:</w:t>
            </w:r>
          </w:p>
          <w:p w14:paraId="3BDCB2A6" w14:textId="6645B6A1" w:rsidR="0075728B" w:rsidRPr="00C312EF" w:rsidRDefault="0075728B" w:rsidP="0042202B">
            <w:pPr>
              <w:rPr>
                <w:rFonts w:cstheme="minorHAnsi"/>
                <w:b/>
              </w:rPr>
            </w:pPr>
            <w:r w:rsidRPr="00C312EF">
              <w:rPr>
                <w:rFonts w:cstheme="minorHAnsi"/>
                <w:b/>
              </w:rPr>
              <w:t>a)procedury krajowego indywidualnego dopuszczenia pojazdu niebędącego nowym pojazdem, wejdą w życie  po upływie 6 miesięcy od dnia ogłoszenia,</w:t>
            </w:r>
          </w:p>
          <w:p w14:paraId="1CBE4C8B" w14:textId="1B7C19FA" w:rsidR="0075728B" w:rsidRPr="00C312EF" w:rsidRDefault="0075728B" w:rsidP="0042202B">
            <w:pPr>
              <w:rPr>
                <w:rFonts w:cstheme="minorHAnsi"/>
                <w:b/>
              </w:rPr>
            </w:pPr>
            <w:r w:rsidRPr="00C312EF">
              <w:rPr>
                <w:rFonts w:cstheme="minorHAnsi"/>
                <w:b/>
              </w:rPr>
              <w:t>b)wprowadzenie pośredniego obowiązku zarejestrowania pojazdu zarejestrowanego w państwie trzecim, który pozostaje na terytorium RP ponad jeden rok od dnia przekroczenia granicy RP oraz obowiązku rejestracji pojazdu zarejestrowanego w państwie trzecim w terminie 30 dni od uzyskania przez jego właściciela (cudzoziemca) miejsca zamieszkania na terytorium RP, wejdą w życie  po upływie roku od dnia ogłoszenia,</w:t>
            </w:r>
          </w:p>
          <w:p w14:paraId="4B8B39DA" w14:textId="02FD5D59" w:rsidR="0075728B" w:rsidRPr="00C312EF" w:rsidRDefault="0075728B" w:rsidP="0042202B">
            <w:pPr>
              <w:rPr>
                <w:rFonts w:cstheme="minorHAnsi"/>
                <w:b/>
              </w:rPr>
            </w:pPr>
            <w:r w:rsidRPr="00C312EF">
              <w:rPr>
                <w:rFonts w:cstheme="minorHAnsi"/>
                <w:b/>
              </w:rPr>
              <w:t>c)przepisy dotyczące całego krajowego systemu obsługi świadectw zgodności, w tym przepisy, które nie wynikają wprost z rozporządzeń unijnych, wejdą w życie w dniu 5 lipca 2026 r.</w:t>
            </w:r>
          </w:p>
          <w:p w14:paraId="3737335E" w14:textId="77777777" w:rsidR="0075728B" w:rsidRPr="00C312EF" w:rsidRDefault="0075728B" w:rsidP="0042202B">
            <w:pPr>
              <w:rPr>
                <w:rFonts w:cstheme="minorHAnsi"/>
                <w:b/>
              </w:rPr>
            </w:pPr>
            <w:r w:rsidRPr="00C312EF">
              <w:rPr>
                <w:rFonts w:cstheme="minorHAnsi"/>
                <w:b/>
              </w:rPr>
              <w:t>Przewidziane w projekcie terminy wejścia w życie ww. rozwiązań prawnych wydają się niewystarczające z perspektywy koniecznych zmian systemowych, zarówno w systemie informatycznym Centralnej Ewidencji Pojazdów i Kierowców, jak i w systemach dziedzinowych zintegrowanych z CEPiK, w szczególności Systemie Informatycznym Pojazd, w oprogramowaniu dostarczanym przez producentów dla stacji kontroli pojazdów, systemie Dyrektora TDT, a także w systemie Straży Granicznej oraz systemach innych podmiotów będących interesariuszami nowych i modyfikowanych procesów, które muszą zostać przygotowane oraz przetestowane, aby przedmiotowe rozwiązania mogły z powodzeniem funkcjonować.</w:t>
            </w:r>
          </w:p>
          <w:p w14:paraId="5BBA6873" w14:textId="77777777" w:rsidR="0075728B" w:rsidRPr="00C312EF" w:rsidRDefault="0075728B" w:rsidP="0042202B">
            <w:pPr>
              <w:rPr>
                <w:rFonts w:cstheme="minorHAnsi"/>
                <w:b/>
              </w:rPr>
            </w:pPr>
            <w:r w:rsidRPr="00C312EF">
              <w:rPr>
                <w:rFonts w:cstheme="minorHAnsi"/>
                <w:b/>
              </w:rPr>
              <w:t>Z uwagi na powyższe oraz wobec szeregu zmian prawnych procedowanych przez Ministra Infrastruktury, które mają wpływ i wymagają istotnej rozbudowy systemu CEPiK [m.in. projekt ustawy o zmianie ustawy – Prawo o ruchu drogowym (numer druku 1437), projekt ustawy o zmianie ustawy – Prawo o ruchu drogowym oraz niektórych innych ustaw (numer druku 1677), projekt ustawy o zmianie ustawy – Prawo o ruchu drogowym oraz ustawy o ubezpieczeniach obowiązkowych, Ubezpieczeniowym Funduszu Gwarancyjnym i Polskim Biurze Ubezpieczycieli Komunikacyjnych (numer druku 1427)], proponuje się odpowiednio wydłużyć wskazane w projekcie terminy wejścia w życie poszczególnych grup przepisów do:</w:t>
            </w:r>
          </w:p>
          <w:p w14:paraId="1945F2AD" w14:textId="77777777" w:rsidR="0075728B" w:rsidRPr="00C312EF" w:rsidRDefault="0075728B" w:rsidP="0042202B">
            <w:pPr>
              <w:rPr>
                <w:rFonts w:cstheme="minorHAnsi"/>
                <w:b/>
              </w:rPr>
            </w:pPr>
            <w:r w:rsidRPr="00C312EF">
              <w:rPr>
                <w:rFonts w:cstheme="minorHAnsi"/>
                <w:b/>
              </w:rPr>
              <w:t>1)      15 miesięcy od dnia ogłoszenia w przypadku procedury krajowego indywidualnego dopuszczenia pojazdu niebędącego nowym pojazdem.</w:t>
            </w:r>
          </w:p>
          <w:p w14:paraId="2B7B83BB" w14:textId="77777777" w:rsidR="0075728B" w:rsidRPr="00C312EF" w:rsidRDefault="0075728B" w:rsidP="0042202B">
            <w:pPr>
              <w:rPr>
                <w:rFonts w:cstheme="minorHAnsi"/>
                <w:b/>
              </w:rPr>
            </w:pPr>
            <w:r w:rsidRPr="00C312EF">
              <w:rPr>
                <w:rFonts w:cstheme="minorHAnsi"/>
                <w:b/>
              </w:rPr>
              <w:t>2)      W przypadku systemu obsługi elektronicznych świadectw zgodności, biorąc pod uwagę wczesny etap prac legislacyjnych oraz brak pewności co do ostatecznego kształtu projektu oraz terminu jego uchwalenia, proponuje się natomiast zróżnicować terminy wejścia w życie przepisów w taki sposób, aby w oczekiwanych przez Ministerstwo Infrastruktury terminach wchodziły w życie przepisy związane z wymianą danych o elektronicznych świadectwach zgodności, przekazywaniem danych przez producentów w formacie elektronicznym oraz dostępem do tych danych dla organów rejestrujących - w ramach rozwiązania do wymiany tych danych poprzez EUCARIS i obowiązków wynikających z rozporządzeń UE. W takim przypadku od strony technicznej na dzień 5 lipca 2026 r. niezbędna byłaby implementacja funkcjonalności EUCARIS IVI zapewniającej możliwość przekazywania danych elektronicznych świadectw zgodności przez producentów, dostęp do tych danych dla organów rejestrujących. Pozostałe elementy krajowego systemu elektronicznych świadectw zgodności mogłyby być stosowane po upływie 18 miesięcy od dnia ogłoszenia ustawy.</w:t>
            </w:r>
          </w:p>
          <w:p w14:paraId="4BEB492D" w14:textId="77777777" w:rsidR="0075728B" w:rsidRPr="00C312EF" w:rsidRDefault="0075728B" w:rsidP="0042202B">
            <w:pPr>
              <w:rPr>
                <w:rFonts w:cstheme="minorHAnsi"/>
                <w:b/>
              </w:rPr>
            </w:pPr>
            <w:r w:rsidRPr="00C312EF">
              <w:rPr>
                <w:rFonts w:cstheme="minorHAnsi"/>
                <w:b/>
              </w:rPr>
              <w:t xml:space="preserve">3) W przypadku przyjęcia powyższych zmian procedura rejestracji pojazdu zarejestrowanego w państwie trzecim mogłaby wejść w życie po upływie 12 miesięcy, jednak w przypadku braku akceptacji dla zmian terminów z pkt 1 i 2 ta procedura rejestracji musiałaby wejść w życie po upływie 18 miesięcy od dnia ogłoszenia ustawy. Dodatkowo projekt nie przewiduje wydłużonego vacatio legis dla art. 4 pkt 10 lit. b w zakresie art. 79 i dodanego w projekcie ust. 3c – wyrejestrowanie pojazdu z urzędu na podstawie informacji otrzymanej od administratora danych i informacji zgromadzonych w centralnej ewidencji pojazdów o wydaniu przez Dyrektora TDT decyzji o wycofaniu pojazdu z obrotu, o którym mowa w art. 53b ust. 1 pkt 2 i ust. 2 ustawy z dnia 14 kwietnia 2023 r. o systemach homologacji pojazdów oraz ich wyposażenia. </w:t>
            </w:r>
          </w:p>
          <w:p w14:paraId="3C796F35" w14:textId="1013352A" w:rsidR="0075728B" w:rsidRPr="00C312EF" w:rsidRDefault="0075728B" w:rsidP="0042202B">
            <w:pPr>
              <w:rPr>
                <w:rFonts w:cstheme="minorHAnsi"/>
                <w:b/>
              </w:rPr>
            </w:pPr>
            <w:r w:rsidRPr="00C312EF">
              <w:rPr>
                <w:rFonts w:cstheme="minorHAnsi"/>
                <w:b/>
              </w:rPr>
              <w:t>Z uwagi na to, że ww. regulacja jest ściśle powiązana z potrzebą zmian systemowych, proponuje się uwzględnienie tego przepisu w wyjątkach przewidzianych w art. 14 projektu z uwzględnieniem 2-letniego vacatio legis. Zmiana wskazana w projekcie nie była planowana, a w celu jej realizacji konieczne jest zapewnienie niezbędnych zasobów do jej realizacji, co w świetle zmian prawnych wskazanych w uwadze do pkt 14, a także zmian wprowadzanych niniejszym projektem, nie będzie możliwe w 2026 r.</w:t>
            </w:r>
          </w:p>
        </w:tc>
        <w:tc>
          <w:tcPr>
            <w:tcW w:w="3827" w:type="dxa"/>
          </w:tcPr>
          <w:p w14:paraId="7AB1FBAC" w14:textId="052489B6" w:rsidR="0075728B" w:rsidRPr="00907FF9" w:rsidRDefault="0075728B" w:rsidP="0042202B">
            <w:pPr>
              <w:rPr>
                <w:rFonts w:cstheme="minorHAnsi"/>
                <w:b/>
                <w:u w:val="single"/>
              </w:rPr>
            </w:pPr>
            <w:r w:rsidRPr="00C312EF">
              <w:rPr>
                <w:rFonts w:cstheme="minorHAnsi"/>
                <w:b/>
                <w:u w:val="single"/>
              </w:rPr>
              <w:t>Do ustalenia w trakcie konferencji</w:t>
            </w:r>
            <w:r>
              <w:rPr>
                <w:rFonts w:cstheme="minorHAnsi"/>
                <w:b/>
                <w:u w:val="single"/>
              </w:rPr>
              <w:t xml:space="preserve"> z MC</w:t>
            </w:r>
            <w:r w:rsidRPr="00C312EF">
              <w:rPr>
                <w:rFonts w:cstheme="minorHAnsi"/>
                <w:b/>
                <w:u w:val="single"/>
              </w:rPr>
              <w:t>:</w:t>
            </w:r>
          </w:p>
          <w:p w14:paraId="783320BB" w14:textId="1CBD2105" w:rsidR="0075728B" w:rsidRPr="00C312EF" w:rsidRDefault="0075728B" w:rsidP="0042202B">
            <w:pPr>
              <w:rPr>
                <w:rFonts w:cstheme="minorHAnsi"/>
                <w:b/>
              </w:rPr>
            </w:pPr>
            <w:r w:rsidRPr="00C312EF">
              <w:rPr>
                <w:rFonts w:cstheme="minorHAnsi"/>
                <w:b/>
              </w:rPr>
              <w:t xml:space="preserve">a) w projekcie zaproponowano wejście w życie przepisów w zakresie stosowania do pojazdów z krajów trzecich rejestrowanych </w:t>
            </w:r>
            <w:r>
              <w:rPr>
                <w:rFonts w:cstheme="minorHAnsi"/>
                <w:b/>
              </w:rPr>
              <w:t xml:space="preserve">po raz pierwszy </w:t>
            </w:r>
            <w:r w:rsidRPr="00C312EF">
              <w:rPr>
                <w:rFonts w:cstheme="minorHAnsi"/>
                <w:b/>
              </w:rPr>
              <w:t xml:space="preserve">w PL  procedury krajowego indywidualnego dopuszczenia pojazdu niebędącego nowym pojazdem – w terminie 12 miesięcy od dnia </w:t>
            </w:r>
            <w:r>
              <w:rPr>
                <w:rFonts w:cstheme="minorHAnsi"/>
                <w:b/>
              </w:rPr>
              <w:t>ogłoszenia ustawy</w:t>
            </w:r>
            <w:r w:rsidRPr="00C312EF">
              <w:rPr>
                <w:rFonts w:cstheme="minorHAnsi"/>
                <w:b/>
              </w:rPr>
              <w:t xml:space="preserve">. </w:t>
            </w:r>
          </w:p>
          <w:p w14:paraId="42DBE204" w14:textId="49E81BB3" w:rsidR="0075728B" w:rsidRPr="00C312EF" w:rsidRDefault="0075728B" w:rsidP="0042202B">
            <w:pPr>
              <w:rPr>
                <w:rFonts w:cstheme="minorHAnsi"/>
                <w:b/>
              </w:rPr>
            </w:pPr>
            <w:r w:rsidRPr="00C312EF">
              <w:rPr>
                <w:rFonts w:cstheme="minorHAnsi"/>
                <w:b/>
              </w:rPr>
              <w:t>b)</w:t>
            </w:r>
            <w:r>
              <w:t xml:space="preserve"> </w:t>
            </w:r>
            <w:r w:rsidRPr="00814E68">
              <w:rPr>
                <w:rFonts w:cstheme="minorHAnsi"/>
                <w:b/>
              </w:rPr>
              <w:t>w projekcie zaproponowano</w:t>
            </w:r>
            <w:r>
              <w:rPr>
                <w:rFonts w:cstheme="minorHAnsi"/>
                <w:b/>
              </w:rPr>
              <w:t xml:space="preserve"> stosowanie </w:t>
            </w:r>
            <w:r w:rsidRPr="00814E68">
              <w:rPr>
                <w:rFonts w:cstheme="minorHAnsi"/>
                <w:b/>
              </w:rPr>
              <w:t>regulacji ograniczających poruszanie się w ruchu międzynarodowym</w:t>
            </w:r>
            <w:r>
              <w:rPr>
                <w:rFonts w:cstheme="minorHAnsi"/>
                <w:b/>
              </w:rPr>
              <w:t xml:space="preserve"> </w:t>
            </w:r>
            <w:r w:rsidRPr="00814E68">
              <w:rPr>
                <w:rFonts w:cstheme="minorHAnsi"/>
                <w:b/>
              </w:rPr>
              <w:t>pojazdów wjeżdżających na terytorium RP bezpośrednio z terytoriów państw trzecich</w:t>
            </w:r>
            <w:r>
              <w:rPr>
                <w:rFonts w:cstheme="minorHAnsi"/>
                <w:b/>
              </w:rPr>
              <w:t xml:space="preserve"> </w:t>
            </w:r>
            <w:r w:rsidRPr="00814E68">
              <w:rPr>
                <w:rFonts w:cstheme="minorHAnsi"/>
                <w:b/>
              </w:rPr>
              <w:t>– w terminie 12 miesięcy od dnia</w:t>
            </w:r>
            <w:r>
              <w:rPr>
                <w:rFonts w:cstheme="minorHAnsi"/>
                <w:b/>
              </w:rPr>
              <w:t xml:space="preserve"> ogłoszenia ustawy. </w:t>
            </w:r>
          </w:p>
          <w:p w14:paraId="24FA80B9" w14:textId="10118833" w:rsidR="0075728B" w:rsidRPr="00C312EF" w:rsidRDefault="0075728B" w:rsidP="0042202B">
            <w:pPr>
              <w:rPr>
                <w:rFonts w:cstheme="minorHAnsi"/>
                <w:b/>
              </w:rPr>
            </w:pPr>
            <w:r w:rsidRPr="00C312EF">
              <w:rPr>
                <w:rFonts w:cstheme="minorHAnsi"/>
                <w:b/>
              </w:rPr>
              <w:t xml:space="preserve">c) z uwagi na etap prac UC95 przepisy w zakresie eCoC wejdą w życie w terminie wejścia w życie UC95. </w:t>
            </w:r>
          </w:p>
          <w:p w14:paraId="13174E04" w14:textId="77777777" w:rsidR="0075728B" w:rsidRPr="00C312EF" w:rsidRDefault="0075728B" w:rsidP="0042202B">
            <w:pPr>
              <w:rPr>
                <w:rFonts w:cstheme="minorHAnsi"/>
                <w:b/>
              </w:rPr>
            </w:pPr>
          </w:p>
          <w:p w14:paraId="19AC08AB" w14:textId="47B479B0" w:rsidR="0075728B" w:rsidRPr="00C312EF" w:rsidRDefault="0075728B" w:rsidP="0042202B">
            <w:pPr>
              <w:rPr>
                <w:rFonts w:cstheme="minorHAnsi"/>
                <w:b/>
              </w:rPr>
            </w:pPr>
            <w:r w:rsidRPr="00C312EF">
              <w:rPr>
                <w:rFonts w:cstheme="minorHAnsi"/>
                <w:b/>
              </w:rPr>
              <w:t xml:space="preserve"> </w:t>
            </w:r>
          </w:p>
        </w:tc>
        <w:tc>
          <w:tcPr>
            <w:tcW w:w="3686" w:type="dxa"/>
          </w:tcPr>
          <w:p w14:paraId="6DE7B02A" w14:textId="43F35EAD" w:rsidR="0075728B" w:rsidRDefault="0075728B" w:rsidP="0042202B">
            <w:pPr>
              <w:rPr>
                <w:rFonts w:cstheme="minorHAnsi"/>
                <w:b/>
              </w:rPr>
            </w:pPr>
            <w:r w:rsidRPr="0075728B">
              <w:rPr>
                <w:rFonts w:cstheme="minorHAnsi"/>
                <w:b/>
              </w:rPr>
              <w:t xml:space="preserve">Do korekty zgodnie z </w:t>
            </w:r>
            <w:r w:rsidR="00866FE2">
              <w:rPr>
                <w:rFonts w:cstheme="minorHAnsi"/>
                <w:b/>
              </w:rPr>
              <w:t>roboczymi uwagami</w:t>
            </w:r>
            <w:r>
              <w:rPr>
                <w:rFonts w:cstheme="minorHAnsi"/>
                <w:b/>
              </w:rPr>
              <w:t xml:space="preserve"> MC</w:t>
            </w:r>
            <w:r w:rsidR="00E302F9">
              <w:rPr>
                <w:rFonts w:cstheme="minorHAnsi"/>
                <w:b/>
              </w:rPr>
              <w:t xml:space="preserve"> </w:t>
            </w:r>
            <w:r w:rsidR="001A5889">
              <w:rPr>
                <w:rFonts w:cstheme="minorHAnsi"/>
                <w:b/>
              </w:rPr>
              <w:t xml:space="preserve">(terminy) </w:t>
            </w:r>
            <w:r w:rsidRPr="0075728B">
              <w:rPr>
                <w:rFonts w:cstheme="minorHAnsi"/>
                <w:b/>
              </w:rPr>
              <w:t xml:space="preserve"> i </w:t>
            </w:r>
            <w:r>
              <w:rPr>
                <w:rFonts w:cstheme="minorHAnsi"/>
                <w:b/>
              </w:rPr>
              <w:t xml:space="preserve">w trakcie </w:t>
            </w:r>
            <w:r w:rsidRPr="0075728B">
              <w:rPr>
                <w:rFonts w:cstheme="minorHAnsi"/>
                <w:b/>
              </w:rPr>
              <w:t xml:space="preserve">spotkania </w:t>
            </w:r>
            <w:r>
              <w:rPr>
                <w:rFonts w:cstheme="minorHAnsi"/>
                <w:b/>
              </w:rPr>
              <w:t>z MC</w:t>
            </w:r>
          </w:p>
          <w:p w14:paraId="75A8F4C9" w14:textId="77777777" w:rsidR="00F96EBD" w:rsidRDefault="00F96EBD" w:rsidP="0042202B">
            <w:pPr>
              <w:rPr>
                <w:rFonts w:cstheme="minorHAnsi"/>
                <w:b/>
              </w:rPr>
            </w:pPr>
          </w:p>
          <w:p w14:paraId="4367DD5B" w14:textId="6DC3AED7" w:rsidR="00F96EBD" w:rsidRPr="0075728B" w:rsidRDefault="00F96EBD" w:rsidP="0042202B">
            <w:pPr>
              <w:rPr>
                <w:rFonts w:cstheme="minorHAnsi"/>
                <w:b/>
              </w:rPr>
            </w:pPr>
            <w:r w:rsidRPr="00F96EBD">
              <w:rPr>
                <w:rFonts w:cstheme="minorHAnsi"/>
                <w:b/>
                <w:color w:val="0070C0"/>
              </w:rPr>
              <w:t>Wypracowano z COI zmiany.</w:t>
            </w:r>
          </w:p>
        </w:tc>
      </w:tr>
      <w:tr w:rsidR="0075728B" w:rsidRPr="00F515D6" w14:paraId="29E9E423" w14:textId="02A3B68B" w:rsidTr="00D76FE7">
        <w:trPr>
          <w:trHeight w:val="983"/>
        </w:trPr>
        <w:tc>
          <w:tcPr>
            <w:tcW w:w="562" w:type="dxa"/>
          </w:tcPr>
          <w:p w14:paraId="496D98FD" w14:textId="77777777" w:rsidR="0075728B" w:rsidRPr="00CD40AF" w:rsidRDefault="0075728B" w:rsidP="0042202B">
            <w:pPr>
              <w:rPr>
                <w:rFonts w:cstheme="minorHAnsi"/>
                <w:b/>
              </w:rPr>
            </w:pPr>
            <w:r w:rsidRPr="00CD40AF">
              <w:rPr>
                <w:rFonts w:cstheme="minorHAnsi"/>
                <w:b/>
              </w:rPr>
              <w:t>81</w:t>
            </w:r>
          </w:p>
        </w:tc>
        <w:tc>
          <w:tcPr>
            <w:tcW w:w="993" w:type="dxa"/>
          </w:tcPr>
          <w:p w14:paraId="0C92F828" w14:textId="77777777" w:rsidR="0075728B" w:rsidRPr="00CD40AF" w:rsidRDefault="0075728B" w:rsidP="0042202B">
            <w:pPr>
              <w:rPr>
                <w:rFonts w:cstheme="minorHAnsi"/>
                <w:b/>
              </w:rPr>
            </w:pPr>
            <w:r w:rsidRPr="00CD40AF">
              <w:rPr>
                <w:rFonts w:cstheme="minorHAnsi"/>
                <w:b/>
              </w:rPr>
              <w:t>MC</w:t>
            </w:r>
          </w:p>
        </w:tc>
        <w:tc>
          <w:tcPr>
            <w:tcW w:w="1701" w:type="dxa"/>
          </w:tcPr>
          <w:p w14:paraId="7D46CCA0" w14:textId="77777777" w:rsidR="0075728B" w:rsidRPr="00CD40AF" w:rsidRDefault="0075728B" w:rsidP="0042202B">
            <w:pPr>
              <w:rPr>
                <w:rFonts w:cstheme="minorHAnsi"/>
                <w:b/>
              </w:rPr>
            </w:pPr>
            <w:r w:rsidRPr="00CD40AF">
              <w:rPr>
                <w:rFonts w:cstheme="minorHAnsi"/>
                <w:b/>
              </w:rPr>
              <w:t>Uzasadnienie, OSR</w:t>
            </w:r>
          </w:p>
        </w:tc>
        <w:tc>
          <w:tcPr>
            <w:tcW w:w="5953" w:type="dxa"/>
          </w:tcPr>
          <w:p w14:paraId="20251BE0" w14:textId="77777777" w:rsidR="0075728B" w:rsidRPr="00CD40AF" w:rsidRDefault="0075728B" w:rsidP="0042202B">
            <w:pPr>
              <w:rPr>
                <w:rFonts w:cstheme="minorHAnsi"/>
                <w:b/>
              </w:rPr>
            </w:pPr>
            <w:r w:rsidRPr="00CD40AF">
              <w:rPr>
                <w:rFonts w:cstheme="minorHAnsi"/>
                <w:b/>
              </w:rPr>
              <w:t>W uzasadnieniu (str. 10) oraz OSR (str. 10) wskazano, że Dyrektor TDT nie będzie prowadził bazy świadectw zgodności wystawionych w postaci elektronicznej, jednakże z uwagi na dostęp Dyrektora TDT do CEP będzie miał dostęp do tej bazy świadectw zgodności.</w:t>
            </w:r>
          </w:p>
          <w:p w14:paraId="4AAB1CB1" w14:textId="4CF2C46C" w:rsidR="0075728B" w:rsidRPr="00CD40AF" w:rsidRDefault="0075728B" w:rsidP="0042202B">
            <w:pPr>
              <w:rPr>
                <w:rFonts w:cstheme="minorHAnsi"/>
                <w:b/>
              </w:rPr>
            </w:pPr>
            <w:r w:rsidRPr="00CD40AF">
              <w:rPr>
                <w:rFonts w:cstheme="minorHAnsi"/>
                <w:b/>
              </w:rPr>
              <w:t>Powyższe wydaje się niezgodne z treścią art. 1 pkt 4 lit. a projektu w zakresie art. 3 ust. 2 ustawy o systemach homologacji pojazdów oraz ich wyposażenia, zgodnie z którym: „2. Dyrektor TDT prowadzi bazę świadectw zgodności przekazanych przez producentów pojazdów w postaci elektronicznej w systemie teleinformatycznym obsługującym centralną ewidencję pojazdów, o której mowa w art. 80a ust. 1 ustawy z dnia 20 czerwca 1997 r. – Prawo o ruchu drogowym, zwaną dalej „ewidencją”.</w:t>
            </w:r>
          </w:p>
        </w:tc>
        <w:tc>
          <w:tcPr>
            <w:tcW w:w="3827" w:type="dxa"/>
          </w:tcPr>
          <w:p w14:paraId="2178949C" w14:textId="5F5C3A54" w:rsidR="0075728B" w:rsidRPr="00CD40AF" w:rsidRDefault="0075728B" w:rsidP="0042202B">
            <w:pPr>
              <w:rPr>
                <w:rFonts w:cstheme="minorHAnsi"/>
                <w:b/>
              </w:rPr>
            </w:pPr>
            <w:r w:rsidRPr="00CD40AF">
              <w:rPr>
                <w:rFonts w:cstheme="minorHAnsi"/>
                <w:b/>
              </w:rPr>
              <w:t>Uwaga uwzględniona</w:t>
            </w:r>
            <w:r>
              <w:rPr>
                <w:rFonts w:cstheme="minorHAnsi"/>
                <w:b/>
              </w:rPr>
              <w:t xml:space="preserve"> poprzez usunięcie tego zapisu w uzasadnieniu i OSR</w:t>
            </w:r>
            <w:r w:rsidRPr="00CD40AF">
              <w:rPr>
                <w:rFonts w:cstheme="minorHAnsi"/>
                <w:b/>
              </w:rPr>
              <w:t xml:space="preserve">.  </w:t>
            </w:r>
          </w:p>
        </w:tc>
        <w:tc>
          <w:tcPr>
            <w:tcW w:w="3686" w:type="dxa"/>
          </w:tcPr>
          <w:p w14:paraId="70FB1BE0" w14:textId="77777777" w:rsidR="0075728B" w:rsidRDefault="0075728B" w:rsidP="0042202B">
            <w:pPr>
              <w:rPr>
                <w:rFonts w:cstheme="minorHAnsi"/>
                <w:b/>
              </w:rPr>
            </w:pPr>
            <w:r>
              <w:rPr>
                <w:rFonts w:cstheme="minorHAnsi"/>
                <w:b/>
              </w:rPr>
              <w:t xml:space="preserve">Akceptacja </w:t>
            </w:r>
          </w:p>
          <w:p w14:paraId="5D9E94BD" w14:textId="61B99CC6" w:rsidR="0075728B" w:rsidRPr="00CD40AF" w:rsidRDefault="0075728B" w:rsidP="0042202B">
            <w:pPr>
              <w:rPr>
                <w:rFonts w:cstheme="minorHAnsi"/>
                <w:b/>
              </w:rPr>
            </w:pPr>
          </w:p>
        </w:tc>
      </w:tr>
      <w:tr w:rsidR="0075728B" w:rsidRPr="00F515D6" w14:paraId="069EB639" w14:textId="27BCF0E1" w:rsidTr="00D76FE7">
        <w:tc>
          <w:tcPr>
            <w:tcW w:w="562" w:type="dxa"/>
          </w:tcPr>
          <w:p w14:paraId="0CE1E6CA" w14:textId="77777777" w:rsidR="0075728B" w:rsidRPr="005C1268" w:rsidRDefault="0075728B" w:rsidP="0042202B">
            <w:pPr>
              <w:rPr>
                <w:rFonts w:cstheme="minorHAnsi"/>
                <w:b/>
              </w:rPr>
            </w:pPr>
            <w:r w:rsidRPr="005C1268">
              <w:rPr>
                <w:rFonts w:cstheme="minorHAnsi"/>
                <w:b/>
              </w:rPr>
              <w:t>82</w:t>
            </w:r>
          </w:p>
        </w:tc>
        <w:tc>
          <w:tcPr>
            <w:tcW w:w="993" w:type="dxa"/>
          </w:tcPr>
          <w:p w14:paraId="48DCE10C" w14:textId="41545B81" w:rsidR="0075728B" w:rsidRPr="000E76C9" w:rsidRDefault="0075728B" w:rsidP="0042202B">
            <w:pPr>
              <w:rPr>
                <w:rFonts w:cstheme="minorHAnsi"/>
                <w:b/>
              </w:rPr>
            </w:pPr>
            <w:r w:rsidRPr="000E76C9">
              <w:rPr>
                <w:rFonts w:cstheme="minorHAnsi"/>
                <w:b/>
              </w:rPr>
              <w:t>MFiG</w:t>
            </w:r>
          </w:p>
          <w:p w14:paraId="110E0650" w14:textId="77777777" w:rsidR="0075728B" w:rsidRDefault="0075728B" w:rsidP="0042202B">
            <w:pPr>
              <w:rPr>
                <w:rFonts w:cstheme="minorHAnsi"/>
                <w:b/>
                <w:color w:val="00B050"/>
              </w:rPr>
            </w:pPr>
            <w:r>
              <w:rPr>
                <w:rFonts w:cstheme="minorHAnsi"/>
                <w:b/>
                <w:color w:val="00B050"/>
              </w:rPr>
              <w:t>+ uwaga 3 RCL</w:t>
            </w:r>
          </w:p>
          <w:p w14:paraId="57F1AB8D" w14:textId="77777777" w:rsidR="0075728B" w:rsidRDefault="0075728B" w:rsidP="0042202B">
            <w:pPr>
              <w:rPr>
                <w:rFonts w:cstheme="minorHAnsi"/>
                <w:b/>
                <w:color w:val="00B050"/>
              </w:rPr>
            </w:pPr>
          </w:p>
          <w:p w14:paraId="515F7F37" w14:textId="6D4F2107" w:rsidR="0075728B" w:rsidRPr="00132F62" w:rsidRDefault="0075728B" w:rsidP="0042202B">
            <w:pPr>
              <w:rPr>
                <w:rFonts w:cstheme="minorHAnsi"/>
                <w:b/>
                <w:color w:val="00B050"/>
              </w:rPr>
            </w:pPr>
            <w:r>
              <w:rPr>
                <w:rFonts w:cstheme="minorHAnsi"/>
                <w:b/>
                <w:color w:val="00B050"/>
              </w:rPr>
              <w:t>+uwaga 105 MFiG</w:t>
            </w:r>
          </w:p>
        </w:tc>
        <w:tc>
          <w:tcPr>
            <w:tcW w:w="1701" w:type="dxa"/>
          </w:tcPr>
          <w:p w14:paraId="57A044C9" w14:textId="77777777" w:rsidR="0075728B" w:rsidRPr="005C1268" w:rsidRDefault="0075728B" w:rsidP="0042202B">
            <w:pPr>
              <w:rPr>
                <w:rFonts w:cstheme="minorHAnsi"/>
                <w:b/>
              </w:rPr>
            </w:pPr>
            <w:r w:rsidRPr="005C1268">
              <w:rPr>
                <w:rFonts w:cstheme="minorHAnsi"/>
                <w:b/>
              </w:rPr>
              <w:t>Art. 3 ust. 3 UH</w:t>
            </w:r>
          </w:p>
        </w:tc>
        <w:tc>
          <w:tcPr>
            <w:tcW w:w="5953" w:type="dxa"/>
          </w:tcPr>
          <w:p w14:paraId="3A7BAAC3" w14:textId="77777777" w:rsidR="0075728B" w:rsidRPr="005C1268" w:rsidRDefault="0075728B" w:rsidP="0042202B">
            <w:pPr>
              <w:pStyle w:val="TekstpismaMF"/>
              <w:spacing w:before="0" w:line="240" w:lineRule="auto"/>
              <w:rPr>
                <w:rFonts w:asciiTheme="minorHAnsi" w:hAnsiTheme="minorHAnsi" w:cstheme="minorHAnsi"/>
                <w:b/>
              </w:rPr>
            </w:pPr>
            <w:r w:rsidRPr="005C1268">
              <w:rPr>
                <w:rFonts w:asciiTheme="minorHAnsi" w:hAnsiTheme="minorHAnsi" w:cstheme="minorHAnsi"/>
                <w:b/>
              </w:rPr>
              <w:t xml:space="preserve">Art. 1 ust 4 lit c projektu wprowadza nowe brzmienie art. 3 ust. 3 ustawy o systemach homologacji pojazdów oraz ich wyposażenia (dalej ustawa o s.h.p.). Popieramy rozszerzenie zakresu nadzoru rynku o hulajnogi elektryczne, co znacznie poprawi możliwości ich kontroli przez funkcjonariuszy Służby Celno-Skarbowej (pojawi się organ, do którego będzie można występować o opinie w przypadku pojawienia się wątpliwości co do zgodności hulajnóg elektrycznych z polskimi wymaganiami technicznymi). </w:t>
            </w:r>
            <w:bookmarkStart w:id="54" w:name="_Hlk233105654"/>
            <w:r w:rsidRPr="005C1268">
              <w:rPr>
                <w:rFonts w:asciiTheme="minorHAnsi" w:hAnsiTheme="minorHAnsi" w:cstheme="minorHAnsi"/>
                <w:b/>
              </w:rPr>
              <w:t xml:space="preserve">Jednocześnie jednak uważamy, że nadzór ten powinien objąć również UTO (urządzenia transportu osobistego, ang. PMD–personal mobility devices). Przywołana w uzasadnieniu (strona 6) prezentacja przedstawiona na spotkaniu Motor Vehicle Working Group (MVWG), które odbyło się w grudniu 2024 r., oraz opierająca się na badaniu zleconym przez KE: Study on the need for harmonised rules to support the rise of micro mobility and increased road safety for personal mobility devices. Final Report wyraźnie pokazuje wzrost wypadków nie tylko w odniesieniu do hulajnóg elektrycznych, ale również UTO. </w:t>
            </w:r>
            <w:bookmarkEnd w:id="54"/>
            <w:r w:rsidRPr="005C1268">
              <w:rPr>
                <w:rFonts w:asciiTheme="minorHAnsi" w:hAnsiTheme="minorHAnsi" w:cstheme="minorHAnsi"/>
                <w:b/>
              </w:rPr>
              <w:t>Mając na uwadze, że urządzenia te zdobywają coraz większą popularność i jest ich coraz więcej w przestrzeni publicznej oraz uwzględniając ww. raport KE, rekomendujemy działanie proaktywne w postaci objęcia ich nadzorem rynku przy okazji obecnego projektu. Wpłynie to pozytywnie na zakres kontroli celnoskarbowej, umożliwiając zasięganie opinii Dyrektora TDT co do spełnienia przez UTO warunków technicznych zawartych w rozporządzeniu Ministra Infrastruktury w sprawie warunków technicznych pojazdów oraz zakresu ich niezbędnego wyposażenia.</w:t>
            </w:r>
          </w:p>
          <w:p w14:paraId="3552C937" w14:textId="77777777" w:rsidR="0075728B" w:rsidRPr="005C1268" w:rsidRDefault="0075728B" w:rsidP="0042202B">
            <w:pPr>
              <w:rPr>
                <w:rFonts w:cstheme="minorHAnsi"/>
                <w:b/>
              </w:rPr>
            </w:pPr>
          </w:p>
        </w:tc>
        <w:tc>
          <w:tcPr>
            <w:tcW w:w="3827" w:type="dxa"/>
          </w:tcPr>
          <w:p w14:paraId="6FBE780F" w14:textId="77777777" w:rsidR="0075728B" w:rsidRDefault="0075728B" w:rsidP="0042202B">
            <w:r w:rsidRPr="005C1268">
              <w:rPr>
                <w:rFonts w:cstheme="minorHAnsi"/>
                <w:b/>
              </w:rPr>
              <w:t>Uwaga uwzględniona poprzez rozszerzeni</w:t>
            </w:r>
            <w:r>
              <w:rPr>
                <w:rFonts w:cstheme="minorHAnsi"/>
                <w:b/>
              </w:rPr>
              <w:t>e</w:t>
            </w:r>
            <w:r w:rsidRPr="005C1268">
              <w:rPr>
                <w:rFonts w:cstheme="minorHAnsi"/>
                <w:b/>
              </w:rPr>
              <w:t xml:space="preserve"> zakresu pojazdów objętych nadzorem rynku</w:t>
            </w:r>
            <w:r>
              <w:rPr>
                <w:rFonts w:cstheme="minorHAnsi"/>
                <w:b/>
              </w:rPr>
              <w:t xml:space="preserve"> o </w:t>
            </w:r>
            <w:bookmarkStart w:id="55" w:name="_Hlk219304415"/>
            <w:r w:rsidRPr="00CD40AF">
              <w:rPr>
                <w:rFonts w:cstheme="minorHAnsi"/>
                <w:b/>
              </w:rPr>
              <w:t xml:space="preserve">rowery i wózki rowerowe wyposażone w uruchamiany naciskiem na pedały pomocniczy napęd elektryczny, hulajnogi elektryczne oraz urządzenia transportu osobistego, o których mowa odpowiednio w art. 2 </w:t>
            </w:r>
            <w:bookmarkEnd w:id="55"/>
            <w:r>
              <w:rPr>
                <w:rFonts w:cstheme="minorHAnsi"/>
                <w:b/>
              </w:rPr>
              <w:t xml:space="preserve">PRD. </w:t>
            </w:r>
            <w:r w:rsidRPr="008C1A4E">
              <w:t xml:space="preserve"> </w:t>
            </w:r>
          </w:p>
          <w:p w14:paraId="7910BD93" w14:textId="1FA38340" w:rsidR="0075728B" w:rsidRPr="00485A6F" w:rsidRDefault="0075728B" w:rsidP="0042202B">
            <w:pPr>
              <w:pStyle w:val="LITlitera"/>
              <w:keepNext/>
              <w:spacing w:line="240" w:lineRule="auto"/>
              <w:ind w:left="476"/>
              <w:jc w:val="left"/>
              <w:rPr>
                <w:rFonts w:asciiTheme="minorHAnsi" w:eastAsiaTheme="minorHAnsi" w:hAnsiTheme="minorHAnsi" w:cstheme="minorHAnsi"/>
                <w:b/>
                <w:bCs w:val="0"/>
                <w:i/>
                <w:sz w:val="22"/>
                <w:szCs w:val="22"/>
                <w:lang w:eastAsia="en-US"/>
              </w:rPr>
            </w:pPr>
            <w:r w:rsidRPr="00485A6F">
              <w:rPr>
                <w:rFonts w:asciiTheme="minorHAnsi" w:eastAsiaTheme="minorHAnsi" w:hAnsiTheme="minorHAnsi" w:cstheme="minorHAnsi"/>
                <w:b/>
                <w:bCs w:val="0"/>
                <w:i/>
                <w:sz w:val="22"/>
                <w:szCs w:val="22"/>
                <w:lang w:eastAsia="en-US"/>
              </w:rPr>
              <w:t>„Art. 3 ust. 3 otrzymuje brzmienie:</w:t>
            </w:r>
          </w:p>
          <w:p w14:paraId="43FE1CAB" w14:textId="53555D49" w:rsidR="0075728B" w:rsidRPr="0071799B" w:rsidRDefault="0075728B" w:rsidP="0042202B">
            <w:pPr>
              <w:pStyle w:val="ZLITUSTzmustliter"/>
              <w:spacing w:line="240" w:lineRule="auto"/>
              <w:ind w:left="0" w:firstLine="0"/>
              <w:jc w:val="left"/>
              <w:rPr>
                <w:rFonts w:asciiTheme="minorHAnsi" w:eastAsiaTheme="minorHAnsi" w:hAnsiTheme="minorHAnsi" w:cstheme="minorHAnsi"/>
                <w:b/>
                <w:bCs w:val="0"/>
                <w:i/>
                <w:sz w:val="22"/>
                <w:szCs w:val="22"/>
                <w:lang w:eastAsia="en-US"/>
              </w:rPr>
            </w:pPr>
            <w:r w:rsidRPr="00485A6F">
              <w:rPr>
                <w:rFonts w:asciiTheme="minorHAnsi" w:eastAsiaTheme="minorHAnsi" w:hAnsiTheme="minorHAnsi" w:cstheme="minorHAnsi"/>
                <w:b/>
                <w:bCs w:val="0"/>
                <w:i/>
                <w:sz w:val="22"/>
                <w:szCs w:val="22"/>
                <w:lang w:eastAsia="en-US"/>
              </w:rPr>
              <w:t>„3. Dyrektor TDT jest na terytorium Rzeczypospolitej Polskiej organem nadzoru rynku w rozumieniu odpowiednio art. 3 pkt 45 rozporządzenia 167/2013, art. 3 pkt 57 rozporządzenia 168/2013 albo art. 3 pkt 35 rozporządzenia 2018/858 – w zakresie aktów wymienionych w tych rozporządzeniach, aktów wydanych na podstawie tych rozporządzeń oraz regulaminów ONZ. Dyrektor TDT wykonuje funkcję organu nadzoru rynku w rozumieniu art. 3 pkt 3 rozporządzenia 2019/1020 w odniesieniu do krajowej homologacji typu pojazdu, homologacji dodatkowej instalacji zasilania gazem pojazdu, krajowego indywidualnego dopuszczenia pojazdu niebędącego nowym pojazdem oraz spełniania przez rowery</w:t>
            </w:r>
            <w:r>
              <w:rPr>
                <w:rFonts w:asciiTheme="minorHAnsi" w:eastAsiaTheme="minorHAnsi" w:hAnsiTheme="minorHAnsi" w:cstheme="minorHAnsi"/>
                <w:b/>
                <w:bCs w:val="0"/>
                <w:i/>
                <w:sz w:val="22"/>
                <w:szCs w:val="22"/>
                <w:lang w:eastAsia="en-US"/>
              </w:rPr>
              <w:t xml:space="preserve">, </w:t>
            </w:r>
            <w:r w:rsidRPr="00485A6F">
              <w:rPr>
                <w:rFonts w:asciiTheme="minorHAnsi" w:eastAsiaTheme="minorHAnsi" w:hAnsiTheme="minorHAnsi" w:cstheme="minorHAnsi"/>
                <w:b/>
                <w:bCs w:val="0"/>
                <w:i/>
                <w:sz w:val="22"/>
                <w:szCs w:val="22"/>
                <w:lang w:eastAsia="en-US"/>
              </w:rPr>
              <w:t>wózki rowerowe, hulajnogi elektryczne oraz urządzenia transportu osobistego warunków technicznych określonych w  przepisach wydawanych na podstawie art. 66 ust. 5 ustawy z dnia 20 czerwca 1997 r. – Prawo o ruchu drogowym, zgodnie z zasadami i procedurami określonymi w rozporządzeniu 2019/1020, które stanowi ramy dla kontroli produktów.”</w:t>
            </w:r>
          </w:p>
        </w:tc>
        <w:tc>
          <w:tcPr>
            <w:tcW w:w="3686" w:type="dxa"/>
          </w:tcPr>
          <w:p w14:paraId="1671A688" w14:textId="3A5C30A2" w:rsidR="0075728B" w:rsidRPr="005C1268" w:rsidRDefault="0075728B" w:rsidP="0042202B">
            <w:pPr>
              <w:rPr>
                <w:rFonts w:cstheme="minorHAnsi"/>
                <w:b/>
              </w:rPr>
            </w:pPr>
            <w:r>
              <w:rPr>
                <w:rFonts w:cstheme="minorHAnsi"/>
                <w:b/>
              </w:rPr>
              <w:t xml:space="preserve">Akceptacja </w:t>
            </w:r>
          </w:p>
        </w:tc>
      </w:tr>
      <w:tr w:rsidR="0075728B" w:rsidRPr="00F515D6" w14:paraId="5B7448E6" w14:textId="210E6B20" w:rsidTr="00D76FE7">
        <w:tc>
          <w:tcPr>
            <w:tcW w:w="562" w:type="dxa"/>
          </w:tcPr>
          <w:p w14:paraId="11C163FA" w14:textId="77777777" w:rsidR="0075728B" w:rsidRPr="005C1268" w:rsidRDefault="0075728B" w:rsidP="0042202B">
            <w:pPr>
              <w:rPr>
                <w:rFonts w:cstheme="minorHAnsi"/>
                <w:b/>
              </w:rPr>
            </w:pPr>
            <w:r w:rsidRPr="005C1268">
              <w:rPr>
                <w:rFonts w:cstheme="minorHAnsi"/>
                <w:b/>
              </w:rPr>
              <w:t>83</w:t>
            </w:r>
          </w:p>
        </w:tc>
        <w:tc>
          <w:tcPr>
            <w:tcW w:w="993" w:type="dxa"/>
          </w:tcPr>
          <w:p w14:paraId="6EBAD32C" w14:textId="77777777" w:rsidR="0075728B" w:rsidRDefault="0075728B" w:rsidP="0042202B">
            <w:pPr>
              <w:rPr>
                <w:rFonts w:cstheme="minorHAnsi"/>
                <w:b/>
              </w:rPr>
            </w:pPr>
            <w:r w:rsidRPr="005C1268">
              <w:rPr>
                <w:rFonts w:cstheme="minorHAnsi"/>
                <w:b/>
              </w:rPr>
              <w:t>MFiG</w:t>
            </w:r>
          </w:p>
          <w:p w14:paraId="0168796B" w14:textId="77777777" w:rsidR="0075728B" w:rsidRDefault="0075728B" w:rsidP="0042202B">
            <w:pPr>
              <w:rPr>
                <w:rFonts w:cstheme="minorHAnsi"/>
                <w:b/>
                <w:color w:val="00B050"/>
              </w:rPr>
            </w:pPr>
            <w:r>
              <w:rPr>
                <w:rFonts w:cstheme="minorHAnsi"/>
                <w:b/>
                <w:color w:val="00B050"/>
              </w:rPr>
              <w:t>+ uwaga 3 RCL</w:t>
            </w:r>
          </w:p>
          <w:p w14:paraId="39E5CAFE" w14:textId="77777777" w:rsidR="0075728B" w:rsidRDefault="0075728B" w:rsidP="0042202B">
            <w:pPr>
              <w:rPr>
                <w:rFonts w:cstheme="minorHAnsi"/>
                <w:b/>
                <w:color w:val="00B050"/>
              </w:rPr>
            </w:pPr>
          </w:p>
          <w:p w14:paraId="43253B4C" w14:textId="1BDE20BC" w:rsidR="0075728B" w:rsidRPr="005C1268" w:rsidRDefault="0075728B" w:rsidP="0042202B">
            <w:pPr>
              <w:rPr>
                <w:rFonts w:cstheme="minorHAnsi"/>
                <w:b/>
              </w:rPr>
            </w:pPr>
            <w:r>
              <w:rPr>
                <w:rFonts w:cstheme="minorHAnsi"/>
                <w:b/>
                <w:color w:val="00B050"/>
              </w:rPr>
              <w:t>+uwaga 105 MFiG</w:t>
            </w:r>
          </w:p>
        </w:tc>
        <w:tc>
          <w:tcPr>
            <w:tcW w:w="1701" w:type="dxa"/>
          </w:tcPr>
          <w:p w14:paraId="0660A569" w14:textId="77777777" w:rsidR="0075728B" w:rsidRPr="005C1268" w:rsidRDefault="0075728B" w:rsidP="0042202B">
            <w:pPr>
              <w:rPr>
                <w:rFonts w:cstheme="minorHAnsi"/>
                <w:b/>
              </w:rPr>
            </w:pPr>
            <w:r w:rsidRPr="005C1268">
              <w:rPr>
                <w:rFonts w:cstheme="minorHAnsi"/>
                <w:b/>
              </w:rPr>
              <w:t>Art. 3 ust. 3 UH</w:t>
            </w:r>
          </w:p>
        </w:tc>
        <w:tc>
          <w:tcPr>
            <w:tcW w:w="5953" w:type="dxa"/>
          </w:tcPr>
          <w:p w14:paraId="21FEF872" w14:textId="77646D67" w:rsidR="0075728B" w:rsidRPr="005C1268" w:rsidRDefault="0075728B" w:rsidP="0042202B">
            <w:pPr>
              <w:autoSpaceDE w:val="0"/>
              <w:autoSpaceDN w:val="0"/>
              <w:adjustRightInd w:val="0"/>
              <w:rPr>
                <w:rFonts w:cstheme="minorHAnsi"/>
                <w:b/>
              </w:rPr>
            </w:pPr>
            <w:r w:rsidRPr="005C1268">
              <w:rPr>
                <w:rFonts w:cstheme="minorHAnsi"/>
                <w:b/>
              </w:rPr>
              <w:t>Ponownej analizy wymaga ujęcie w projektowanym art. 3 ust. 3 ustawy o s.h.p. odesłania do przepisów rozporządzenia Ministra Infrastruktury w sprawie warunków technicznych pojazdów oraz zakresu ich niezbędnego wyposażania.</w:t>
            </w:r>
          </w:p>
        </w:tc>
        <w:tc>
          <w:tcPr>
            <w:tcW w:w="3827" w:type="dxa"/>
          </w:tcPr>
          <w:p w14:paraId="4D8DFEC9" w14:textId="7D50C580" w:rsidR="0075728B" w:rsidRPr="005C1268" w:rsidRDefault="0075728B" w:rsidP="0042202B">
            <w:pPr>
              <w:rPr>
                <w:rFonts w:cstheme="minorHAnsi"/>
                <w:b/>
              </w:rPr>
            </w:pPr>
            <w:r w:rsidRPr="005C1268">
              <w:rPr>
                <w:rFonts w:cstheme="minorHAnsi"/>
                <w:b/>
              </w:rPr>
              <w:t xml:space="preserve">Uwaga uwzględniona zgodnie z uwagą RCL  – </w:t>
            </w:r>
            <w:r>
              <w:rPr>
                <w:rFonts w:cstheme="minorHAnsi"/>
                <w:b/>
              </w:rPr>
              <w:t xml:space="preserve">wprowadzono </w:t>
            </w:r>
            <w:r w:rsidRPr="005C1268">
              <w:rPr>
                <w:rFonts w:cstheme="minorHAnsi"/>
                <w:b/>
              </w:rPr>
              <w:t xml:space="preserve">ogólne odwołanie do </w:t>
            </w:r>
            <w:r>
              <w:rPr>
                <w:rFonts w:cstheme="minorHAnsi"/>
                <w:b/>
              </w:rPr>
              <w:t xml:space="preserve">art. 66 ust. 5 PRD zawierającego delegację do wydania </w:t>
            </w:r>
            <w:r w:rsidRPr="005C1268">
              <w:rPr>
                <w:rFonts w:cstheme="minorHAnsi"/>
                <w:b/>
              </w:rPr>
              <w:t>rozporządzenia w sprawie warunków  technicznych pojazdów oraz zakresu ich niezbędnego wyposażania</w:t>
            </w:r>
            <w:r>
              <w:rPr>
                <w:rFonts w:cstheme="minorHAnsi"/>
                <w:b/>
              </w:rPr>
              <w:t xml:space="preserve"> – patrz przepis w pkt 82. </w:t>
            </w:r>
          </w:p>
        </w:tc>
        <w:tc>
          <w:tcPr>
            <w:tcW w:w="3686" w:type="dxa"/>
          </w:tcPr>
          <w:p w14:paraId="48121B71" w14:textId="77777777" w:rsidR="0075728B" w:rsidRDefault="0075728B" w:rsidP="0042202B">
            <w:pPr>
              <w:rPr>
                <w:rFonts w:cstheme="minorHAnsi"/>
                <w:b/>
              </w:rPr>
            </w:pPr>
            <w:r>
              <w:rPr>
                <w:rFonts w:cstheme="minorHAnsi"/>
                <w:b/>
              </w:rPr>
              <w:t xml:space="preserve">Akceptacja </w:t>
            </w:r>
          </w:p>
          <w:p w14:paraId="41307B8C" w14:textId="32F04EF7" w:rsidR="0075728B" w:rsidRPr="005C1268" w:rsidRDefault="0075728B" w:rsidP="0042202B">
            <w:pPr>
              <w:rPr>
                <w:rFonts w:cstheme="minorHAnsi"/>
                <w:b/>
              </w:rPr>
            </w:pPr>
          </w:p>
        </w:tc>
      </w:tr>
      <w:tr w:rsidR="0075728B" w:rsidRPr="00F515D6" w14:paraId="2E13BD26" w14:textId="7C008A4A" w:rsidTr="00D76FE7">
        <w:tc>
          <w:tcPr>
            <w:tcW w:w="562" w:type="dxa"/>
          </w:tcPr>
          <w:p w14:paraId="171D7E44" w14:textId="77777777" w:rsidR="0075728B" w:rsidRPr="005C1268" w:rsidRDefault="0075728B" w:rsidP="0042202B">
            <w:pPr>
              <w:rPr>
                <w:rFonts w:cstheme="minorHAnsi"/>
                <w:b/>
              </w:rPr>
            </w:pPr>
            <w:r w:rsidRPr="005C1268">
              <w:rPr>
                <w:rFonts w:cstheme="minorHAnsi"/>
                <w:b/>
              </w:rPr>
              <w:t>84</w:t>
            </w:r>
          </w:p>
        </w:tc>
        <w:tc>
          <w:tcPr>
            <w:tcW w:w="993" w:type="dxa"/>
          </w:tcPr>
          <w:p w14:paraId="6181C0F5" w14:textId="77777777" w:rsidR="0075728B" w:rsidRPr="005C1268" w:rsidRDefault="0075728B" w:rsidP="0042202B">
            <w:pPr>
              <w:rPr>
                <w:rFonts w:cstheme="minorHAnsi"/>
                <w:b/>
              </w:rPr>
            </w:pPr>
            <w:r w:rsidRPr="005C1268">
              <w:rPr>
                <w:rFonts w:cstheme="minorHAnsi"/>
                <w:b/>
              </w:rPr>
              <w:t>MFiG</w:t>
            </w:r>
          </w:p>
        </w:tc>
        <w:tc>
          <w:tcPr>
            <w:tcW w:w="1701" w:type="dxa"/>
          </w:tcPr>
          <w:p w14:paraId="49D45111" w14:textId="77777777" w:rsidR="0075728B" w:rsidRPr="005C1268" w:rsidRDefault="0075728B" w:rsidP="0042202B">
            <w:pPr>
              <w:rPr>
                <w:rFonts w:cstheme="minorHAnsi"/>
                <w:b/>
              </w:rPr>
            </w:pPr>
            <w:r w:rsidRPr="005C1268">
              <w:rPr>
                <w:rFonts w:cstheme="minorHAnsi"/>
                <w:b/>
              </w:rPr>
              <w:t>Art. 27 ust. 1 pkt 2 i 3 UH</w:t>
            </w:r>
          </w:p>
        </w:tc>
        <w:tc>
          <w:tcPr>
            <w:tcW w:w="5953" w:type="dxa"/>
          </w:tcPr>
          <w:p w14:paraId="7136DFC0" w14:textId="77777777" w:rsidR="0075728B" w:rsidRPr="005C1268" w:rsidRDefault="0075728B" w:rsidP="0042202B">
            <w:pPr>
              <w:autoSpaceDE w:val="0"/>
              <w:autoSpaceDN w:val="0"/>
              <w:adjustRightInd w:val="0"/>
              <w:rPr>
                <w:rFonts w:cstheme="minorHAnsi"/>
                <w:b/>
              </w:rPr>
            </w:pPr>
            <w:r w:rsidRPr="005C1268">
              <w:rPr>
                <w:rFonts w:cstheme="minorHAnsi"/>
                <w:b/>
              </w:rPr>
              <w:t>Wątpliwości budzą projektowane przepisy art. 27 ust. 1 pkt 2 i 3 ustawy o s.h.p. Przepisy te przewidują, że świadectwo zgodności pojazdu oraz oświadczenie wystawiane są w postaci papierowej, jednak mogą być składane w postaci elektronicznej. Jednocześnie przepis art. 27 ust. 1 pkt 3a tej ustawy reguluje wystawianie ww. dokumentów w postaci elektronicznej. Wskazane jest rozważenie przeredagowania tych przepisów w taki sposób, aby nie budziło wątpliwości, że ww. dokumenty są przedstawiane w postaci elektronicznej jeżeli zostały wystawione w takiej postaci, bądź w postaci elektronicznej kopii dokumentu bądź cyfrowego odwzorowania, jeżeli zostały wystawione w postaci papierowej.</w:t>
            </w:r>
          </w:p>
          <w:p w14:paraId="6132BC23" w14:textId="77777777" w:rsidR="0075728B" w:rsidRPr="005C1268" w:rsidRDefault="0075728B" w:rsidP="0042202B">
            <w:pPr>
              <w:rPr>
                <w:rFonts w:cstheme="minorHAnsi"/>
                <w:b/>
              </w:rPr>
            </w:pPr>
          </w:p>
        </w:tc>
        <w:tc>
          <w:tcPr>
            <w:tcW w:w="3827" w:type="dxa"/>
          </w:tcPr>
          <w:p w14:paraId="699669BF" w14:textId="57681A48" w:rsidR="0075728B" w:rsidRPr="005C1268" w:rsidRDefault="0075728B" w:rsidP="0042202B">
            <w:pPr>
              <w:rPr>
                <w:rFonts w:cstheme="minorHAnsi"/>
                <w:b/>
              </w:rPr>
            </w:pPr>
            <w:r w:rsidRPr="005C1268">
              <w:rPr>
                <w:rFonts w:cstheme="minorHAnsi"/>
                <w:b/>
              </w:rPr>
              <w:t>Uwaga wyjaśniona - zasadą obowiązującą obecnie w przepisach UE i krajowych jest obowiązek wystawiania świadectwa zgodności dla nowego pojazdu w postaci papierowej – dotyczy to pojazdów wszystkich kategorii homologacyjnych (M, N, O, L, T,</w:t>
            </w:r>
            <w:r>
              <w:rPr>
                <w:rFonts w:cstheme="minorHAnsi"/>
                <w:b/>
              </w:rPr>
              <w:t xml:space="preserve"> </w:t>
            </w:r>
            <w:r w:rsidRPr="005C1268">
              <w:rPr>
                <w:rFonts w:cstheme="minorHAnsi"/>
                <w:b/>
              </w:rPr>
              <w:t>C,</w:t>
            </w:r>
            <w:r>
              <w:rPr>
                <w:rFonts w:cstheme="minorHAnsi"/>
                <w:b/>
              </w:rPr>
              <w:t xml:space="preserve"> </w:t>
            </w:r>
            <w:r w:rsidRPr="005C1268">
              <w:rPr>
                <w:rFonts w:cstheme="minorHAnsi"/>
                <w:b/>
              </w:rPr>
              <w:t>R,</w:t>
            </w:r>
            <w:r>
              <w:rPr>
                <w:rFonts w:cstheme="minorHAnsi"/>
                <w:b/>
              </w:rPr>
              <w:t xml:space="preserve"> </w:t>
            </w:r>
            <w:r w:rsidRPr="005C1268">
              <w:rPr>
                <w:rFonts w:cstheme="minorHAnsi"/>
                <w:b/>
              </w:rPr>
              <w:t>S). Równocześnie w postaci papierowej wystawiane są</w:t>
            </w:r>
            <w:r>
              <w:rPr>
                <w:rFonts w:cstheme="minorHAnsi"/>
                <w:b/>
              </w:rPr>
              <w:t xml:space="preserve"> krajowe dokumenty -</w:t>
            </w:r>
            <w:r w:rsidRPr="005C1268">
              <w:rPr>
                <w:rFonts w:cstheme="minorHAnsi"/>
                <w:b/>
              </w:rPr>
              <w:t xml:space="preserve"> oświadczenia na potrzeby rejestracji i ewidencji (art. 27 ust. 1 pkt 2 i 3). </w:t>
            </w:r>
          </w:p>
          <w:p w14:paraId="7268806D" w14:textId="25DD3D66" w:rsidR="0075728B" w:rsidRPr="0071799B" w:rsidRDefault="0075728B" w:rsidP="0042202B">
            <w:pPr>
              <w:rPr>
                <w:b/>
              </w:rPr>
            </w:pPr>
            <w:r w:rsidRPr="005C1268">
              <w:rPr>
                <w:rFonts w:cstheme="minorHAnsi"/>
                <w:b/>
              </w:rPr>
              <w:t xml:space="preserve">Jednakże w odniesieniu do pojazdów kategorii M, N, O przepisy UE nakładają obowiązek od połowy 2026 r. wystawiania świadectw zgodności w postaci elektronicznej – stąd nowy pkt 3a w art. 27 ust. 1 i utworzenie </w:t>
            </w:r>
            <w:r w:rsidRPr="005C1268">
              <w:rPr>
                <w:b/>
              </w:rPr>
              <w:t xml:space="preserve">bazy świadectw zgodności przekazanych przez producentów pojazdów w postaci elektronicznej w systemie teleinformatycznym obsługującym centralną ewidencję pojazdów, o której mowa w art. 80a ust. 1 ustawy z dnia 20 czerwca 1997 r. – Prawo o ruchu drogowym. </w:t>
            </w:r>
            <w:r w:rsidRPr="005C1268">
              <w:rPr>
                <w:rFonts w:cstheme="minorHAnsi"/>
                <w:b/>
              </w:rPr>
              <w:t xml:space="preserve">W konsekwencji </w:t>
            </w:r>
            <w:r>
              <w:rPr>
                <w:rFonts w:cstheme="minorHAnsi"/>
                <w:b/>
              </w:rPr>
              <w:t>powyższego, w szczególności stworzenia takiej bazy,</w:t>
            </w:r>
            <w:r w:rsidRPr="005C1268">
              <w:rPr>
                <w:rFonts w:cstheme="minorHAnsi"/>
                <w:b/>
              </w:rPr>
              <w:t xml:space="preserve"> wprowadzono </w:t>
            </w:r>
            <w:r>
              <w:rPr>
                <w:rFonts w:cstheme="minorHAnsi"/>
                <w:b/>
              </w:rPr>
              <w:t xml:space="preserve">również </w:t>
            </w:r>
            <w:r w:rsidRPr="005C1268">
              <w:rPr>
                <w:rFonts w:cstheme="minorHAnsi"/>
                <w:b/>
              </w:rPr>
              <w:t>fakultatywną możliwość przekazywania świadectw zgodności dla innych kategorii niż M,</w:t>
            </w:r>
            <w:r>
              <w:rPr>
                <w:rFonts w:cstheme="minorHAnsi"/>
                <w:b/>
              </w:rPr>
              <w:t xml:space="preserve"> </w:t>
            </w:r>
            <w:r w:rsidRPr="005C1268">
              <w:rPr>
                <w:rFonts w:cstheme="minorHAnsi"/>
                <w:b/>
              </w:rPr>
              <w:t xml:space="preserve">N, O, o ile producent tych pojazdów będzie miał infrastrukturę w zakresie przekazania tych dokumentów.  </w:t>
            </w:r>
          </w:p>
        </w:tc>
        <w:tc>
          <w:tcPr>
            <w:tcW w:w="3686" w:type="dxa"/>
          </w:tcPr>
          <w:p w14:paraId="3BC63052" w14:textId="2C53CEB3" w:rsidR="0075728B" w:rsidRPr="005C1268" w:rsidRDefault="0075728B" w:rsidP="0042202B">
            <w:pPr>
              <w:rPr>
                <w:rFonts w:cstheme="minorHAnsi"/>
                <w:b/>
              </w:rPr>
            </w:pPr>
            <w:r>
              <w:rPr>
                <w:rFonts w:cstheme="minorHAnsi"/>
                <w:b/>
              </w:rPr>
              <w:t xml:space="preserve">Akceptacja </w:t>
            </w:r>
          </w:p>
        </w:tc>
      </w:tr>
      <w:tr w:rsidR="0075728B" w:rsidRPr="00F515D6" w14:paraId="7E5B8F1B" w14:textId="3D3881F2" w:rsidTr="00D76FE7">
        <w:tc>
          <w:tcPr>
            <w:tcW w:w="562" w:type="dxa"/>
          </w:tcPr>
          <w:p w14:paraId="464C35D8" w14:textId="77777777" w:rsidR="0075728B" w:rsidRPr="00780670" w:rsidRDefault="0075728B" w:rsidP="0042202B">
            <w:pPr>
              <w:rPr>
                <w:rFonts w:cstheme="minorHAnsi"/>
                <w:b/>
              </w:rPr>
            </w:pPr>
            <w:r w:rsidRPr="00780670">
              <w:rPr>
                <w:rFonts w:cstheme="minorHAnsi"/>
                <w:b/>
              </w:rPr>
              <w:t>85</w:t>
            </w:r>
          </w:p>
        </w:tc>
        <w:tc>
          <w:tcPr>
            <w:tcW w:w="993" w:type="dxa"/>
          </w:tcPr>
          <w:p w14:paraId="74BA6D8B" w14:textId="77777777" w:rsidR="0075728B" w:rsidRPr="00780670" w:rsidRDefault="0075728B" w:rsidP="0042202B">
            <w:pPr>
              <w:rPr>
                <w:rFonts w:cstheme="minorHAnsi"/>
                <w:b/>
              </w:rPr>
            </w:pPr>
            <w:r w:rsidRPr="00780670">
              <w:rPr>
                <w:rFonts w:cstheme="minorHAnsi"/>
                <w:b/>
              </w:rPr>
              <w:t>MFiG</w:t>
            </w:r>
          </w:p>
        </w:tc>
        <w:tc>
          <w:tcPr>
            <w:tcW w:w="1701" w:type="dxa"/>
          </w:tcPr>
          <w:p w14:paraId="2F0951AD" w14:textId="4EBD2350" w:rsidR="0075728B" w:rsidRPr="00780670" w:rsidRDefault="0075728B" w:rsidP="0042202B">
            <w:pPr>
              <w:rPr>
                <w:rFonts w:cstheme="minorHAnsi"/>
                <w:b/>
              </w:rPr>
            </w:pPr>
            <w:r w:rsidRPr="00780670">
              <w:rPr>
                <w:rFonts w:cstheme="minorHAnsi"/>
                <w:b/>
              </w:rPr>
              <w:t>Ogólna uwaga do m.in. art. 68c ust., art. 68</w:t>
            </w:r>
            <w:r>
              <w:rPr>
                <w:rFonts w:cstheme="minorHAnsi"/>
                <w:b/>
              </w:rPr>
              <w:t>l</w:t>
            </w:r>
            <w:r w:rsidRPr="00780670">
              <w:rPr>
                <w:rFonts w:cstheme="minorHAnsi"/>
                <w:b/>
              </w:rPr>
              <w:t xml:space="preserve"> ust 5, art. 68l ust. 12 i 17, art. 68n ust. 1, art. 68o UH  </w:t>
            </w:r>
          </w:p>
        </w:tc>
        <w:tc>
          <w:tcPr>
            <w:tcW w:w="5953" w:type="dxa"/>
          </w:tcPr>
          <w:p w14:paraId="76EA022D" w14:textId="06AB159E" w:rsidR="0075728B" w:rsidRPr="00780670" w:rsidRDefault="0075728B" w:rsidP="0042202B">
            <w:pPr>
              <w:autoSpaceDE w:val="0"/>
              <w:autoSpaceDN w:val="0"/>
              <w:adjustRightInd w:val="0"/>
              <w:rPr>
                <w:rFonts w:cstheme="minorHAnsi"/>
                <w:b/>
              </w:rPr>
            </w:pPr>
            <w:r w:rsidRPr="00780670">
              <w:rPr>
                <w:rFonts w:cstheme="minorHAnsi"/>
                <w:b/>
              </w:rPr>
              <w:t>Zauważamy, że wiele z projektowanych przepisów ustawy o s.h.p. przewiduje podejmowanie określonych działań przez Dyrektora TDT za opłatą (np. art. 68c ust., art. 68</w:t>
            </w:r>
            <w:r>
              <w:rPr>
                <w:rFonts w:cstheme="minorHAnsi"/>
                <w:b/>
              </w:rPr>
              <w:t>l</w:t>
            </w:r>
            <w:r w:rsidRPr="00780670">
              <w:rPr>
                <w:rFonts w:cstheme="minorHAnsi"/>
                <w:b/>
              </w:rPr>
              <w:t xml:space="preserve"> ust 5, art. 68l ust. 12 i 17, art. 68n ust. 1, art. 68o). Należałoby rozważyć wprowadzenie przepisów, które uzależniają podjęcie działań przez Dyrektora TDT od wniesienia tych opłat, tak aby nie było konieczności ich przymusowego dochodzenia, w </w:t>
            </w:r>
            <w:r w:rsidRPr="00FA6A0C">
              <w:rPr>
                <w:rFonts w:cstheme="minorHAnsi"/>
                <w:b/>
              </w:rPr>
              <w:t>przypadku gdy opłata nie zostanie wniesiona. W tym celu można byłoby wprowadzić zasadę, że potwierdzenie wniesienia opłaty załącza się do wniosku o dokonanie czynności bądź rozpatrzenie skargi.</w:t>
            </w:r>
          </w:p>
        </w:tc>
        <w:tc>
          <w:tcPr>
            <w:tcW w:w="3827" w:type="dxa"/>
          </w:tcPr>
          <w:p w14:paraId="0A627628" w14:textId="498A0826" w:rsidR="0075728B" w:rsidRPr="00780670" w:rsidRDefault="0075728B" w:rsidP="0042202B">
            <w:pPr>
              <w:rPr>
                <w:rFonts w:cstheme="minorHAnsi"/>
                <w:b/>
              </w:rPr>
            </w:pPr>
            <w:r w:rsidRPr="00780670">
              <w:rPr>
                <w:rFonts w:cstheme="minorHAnsi"/>
                <w:b/>
              </w:rPr>
              <w:t>Uwaga uwzględniona – wprowadzono stosowne zmiany w ustawie</w:t>
            </w:r>
            <w:r>
              <w:rPr>
                <w:rFonts w:cstheme="minorHAnsi"/>
                <w:b/>
              </w:rPr>
              <w:t xml:space="preserve"> poprzez wymaganie załączenia dowodu uiszczenia opłaty</w:t>
            </w:r>
            <w:r w:rsidRPr="00780670">
              <w:rPr>
                <w:rFonts w:cstheme="minorHAnsi"/>
                <w:b/>
              </w:rPr>
              <w:t xml:space="preserve">. </w:t>
            </w:r>
          </w:p>
        </w:tc>
        <w:tc>
          <w:tcPr>
            <w:tcW w:w="3686" w:type="dxa"/>
          </w:tcPr>
          <w:p w14:paraId="3BDDF7AE" w14:textId="57233061" w:rsidR="0075728B" w:rsidRPr="00780670" w:rsidRDefault="0075728B" w:rsidP="0042202B">
            <w:pPr>
              <w:rPr>
                <w:rFonts w:cstheme="minorHAnsi"/>
                <w:b/>
              </w:rPr>
            </w:pPr>
            <w:r>
              <w:rPr>
                <w:rFonts w:cstheme="minorHAnsi"/>
                <w:b/>
              </w:rPr>
              <w:t xml:space="preserve">Akceptacja </w:t>
            </w:r>
          </w:p>
        </w:tc>
      </w:tr>
      <w:tr w:rsidR="0075728B" w:rsidRPr="00F515D6" w14:paraId="4CD3109A" w14:textId="4D73B516" w:rsidTr="00D76FE7">
        <w:tc>
          <w:tcPr>
            <w:tcW w:w="562" w:type="dxa"/>
          </w:tcPr>
          <w:p w14:paraId="198DEFF4" w14:textId="77777777" w:rsidR="0075728B" w:rsidRPr="00BC7EDE" w:rsidRDefault="0075728B" w:rsidP="0042202B">
            <w:pPr>
              <w:rPr>
                <w:rFonts w:cstheme="minorHAnsi"/>
                <w:b/>
              </w:rPr>
            </w:pPr>
            <w:r w:rsidRPr="00BC7EDE">
              <w:rPr>
                <w:rFonts w:cstheme="minorHAnsi"/>
                <w:b/>
              </w:rPr>
              <w:t>86</w:t>
            </w:r>
          </w:p>
        </w:tc>
        <w:tc>
          <w:tcPr>
            <w:tcW w:w="993" w:type="dxa"/>
          </w:tcPr>
          <w:p w14:paraId="5DA8F93C" w14:textId="77777777" w:rsidR="0075728B" w:rsidRDefault="0075728B" w:rsidP="0042202B">
            <w:pPr>
              <w:rPr>
                <w:rFonts w:cstheme="minorHAnsi"/>
                <w:b/>
              </w:rPr>
            </w:pPr>
            <w:r w:rsidRPr="00BC7EDE">
              <w:rPr>
                <w:rFonts w:cstheme="minorHAnsi"/>
                <w:b/>
              </w:rPr>
              <w:t>MFiG</w:t>
            </w:r>
          </w:p>
          <w:p w14:paraId="366E6C68" w14:textId="77777777" w:rsidR="0075728B" w:rsidRDefault="0075728B" w:rsidP="0042202B">
            <w:pPr>
              <w:rPr>
                <w:rFonts w:cstheme="minorHAnsi"/>
                <w:b/>
                <w:color w:val="00B050"/>
              </w:rPr>
            </w:pPr>
            <w:r>
              <w:rPr>
                <w:rFonts w:cstheme="minorHAnsi"/>
                <w:b/>
                <w:color w:val="00B050"/>
              </w:rPr>
              <w:t>+ uwaga 13 RCL (art. 68s ust. 1 pkt 4)</w:t>
            </w:r>
          </w:p>
          <w:p w14:paraId="4541A40D" w14:textId="77777777" w:rsidR="0075728B" w:rsidRDefault="0075728B" w:rsidP="0042202B">
            <w:pPr>
              <w:rPr>
                <w:rFonts w:cstheme="minorHAnsi"/>
                <w:b/>
                <w:color w:val="00B050"/>
              </w:rPr>
            </w:pPr>
          </w:p>
          <w:p w14:paraId="023F7180" w14:textId="77777777" w:rsidR="0075728B" w:rsidRDefault="0075728B" w:rsidP="0042202B">
            <w:pPr>
              <w:rPr>
                <w:rFonts w:cstheme="minorHAnsi"/>
                <w:b/>
                <w:color w:val="00B050"/>
              </w:rPr>
            </w:pPr>
            <w:r>
              <w:rPr>
                <w:rFonts w:cstheme="minorHAnsi"/>
                <w:b/>
                <w:color w:val="00B050"/>
              </w:rPr>
              <w:t>+uwaga 34 MFiG (art. 68s ust. 1 pkt 4)</w:t>
            </w:r>
          </w:p>
          <w:p w14:paraId="56F1E8C1" w14:textId="77777777" w:rsidR="0075728B" w:rsidRDefault="0075728B" w:rsidP="0042202B">
            <w:pPr>
              <w:rPr>
                <w:rFonts w:cstheme="minorHAnsi"/>
                <w:b/>
                <w:color w:val="00B050"/>
              </w:rPr>
            </w:pPr>
          </w:p>
          <w:p w14:paraId="197B293B" w14:textId="77777777" w:rsidR="0075728B" w:rsidRDefault="0075728B" w:rsidP="0042202B">
            <w:pPr>
              <w:rPr>
                <w:rFonts w:cstheme="minorHAnsi"/>
                <w:b/>
                <w:color w:val="00B050"/>
              </w:rPr>
            </w:pPr>
            <w:r>
              <w:rPr>
                <w:rFonts w:cstheme="minorHAnsi"/>
                <w:b/>
                <w:color w:val="00B050"/>
              </w:rPr>
              <w:t>+ uwaga 35 MFiG (art. 68s ust. 1 pkt 1)</w:t>
            </w:r>
          </w:p>
          <w:p w14:paraId="24E9833E" w14:textId="77777777" w:rsidR="0075728B" w:rsidRDefault="0075728B" w:rsidP="0042202B">
            <w:pPr>
              <w:rPr>
                <w:rFonts w:cstheme="minorHAnsi"/>
                <w:b/>
                <w:color w:val="00B050"/>
              </w:rPr>
            </w:pPr>
          </w:p>
          <w:p w14:paraId="2D5CADF4" w14:textId="77777777" w:rsidR="0075728B" w:rsidRDefault="0075728B" w:rsidP="0042202B">
            <w:pPr>
              <w:rPr>
                <w:rFonts w:cstheme="minorHAnsi"/>
                <w:b/>
                <w:color w:val="00B050"/>
              </w:rPr>
            </w:pPr>
            <w:r>
              <w:rPr>
                <w:rFonts w:cstheme="minorHAnsi"/>
                <w:b/>
                <w:color w:val="00B050"/>
              </w:rPr>
              <w:t>+uwaga 59 MC (art. 68s ust. 1 pkt 16)</w:t>
            </w:r>
          </w:p>
          <w:p w14:paraId="54AE188B" w14:textId="77777777" w:rsidR="0075728B" w:rsidRDefault="0075728B" w:rsidP="0042202B">
            <w:pPr>
              <w:rPr>
                <w:rFonts w:cstheme="minorHAnsi"/>
                <w:b/>
                <w:color w:val="00B050"/>
              </w:rPr>
            </w:pPr>
          </w:p>
          <w:p w14:paraId="6A1E4776" w14:textId="77777777" w:rsidR="0075728B" w:rsidRDefault="0075728B" w:rsidP="0042202B">
            <w:pPr>
              <w:rPr>
                <w:rFonts w:cstheme="minorHAnsi"/>
                <w:b/>
                <w:color w:val="00B050"/>
              </w:rPr>
            </w:pPr>
            <w:r>
              <w:rPr>
                <w:rFonts w:cstheme="minorHAnsi"/>
                <w:b/>
                <w:color w:val="00B050"/>
              </w:rPr>
              <w:t>+uwaga 88 MC (art. 68s ust. 1 pkt 20)</w:t>
            </w:r>
          </w:p>
          <w:p w14:paraId="753B21E7" w14:textId="77777777" w:rsidR="0075728B" w:rsidRPr="00BC7EDE" w:rsidRDefault="0075728B" w:rsidP="0042202B">
            <w:pPr>
              <w:rPr>
                <w:rFonts w:cstheme="minorHAnsi"/>
                <w:b/>
              </w:rPr>
            </w:pPr>
          </w:p>
        </w:tc>
        <w:tc>
          <w:tcPr>
            <w:tcW w:w="1701" w:type="dxa"/>
          </w:tcPr>
          <w:p w14:paraId="789098F2" w14:textId="77777777" w:rsidR="0075728B" w:rsidRPr="00BC7EDE" w:rsidRDefault="0075728B" w:rsidP="0042202B">
            <w:pPr>
              <w:rPr>
                <w:rFonts w:cstheme="minorHAnsi"/>
                <w:b/>
              </w:rPr>
            </w:pPr>
            <w:r w:rsidRPr="00BC7EDE">
              <w:rPr>
                <w:rFonts w:cstheme="minorHAnsi"/>
                <w:b/>
              </w:rPr>
              <w:t>Art. 68s ust. 1 pkt 18 UH</w:t>
            </w:r>
          </w:p>
        </w:tc>
        <w:tc>
          <w:tcPr>
            <w:tcW w:w="5953" w:type="dxa"/>
          </w:tcPr>
          <w:p w14:paraId="1B10FC34" w14:textId="04B502CB" w:rsidR="0075728B" w:rsidRPr="00BC7EDE" w:rsidRDefault="0075728B" w:rsidP="0042202B">
            <w:pPr>
              <w:autoSpaceDE w:val="0"/>
              <w:autoSpaceDN w:val="0"/>
              <w:adjustRightInd w:val="0"/>
              <w:rPr>
                <w:rFonts w:cstheme="minorHAnsi"/>
                <w:b/>
              </w:rPr>
            </w:pPr>
            <w:r w:rsidRPr="00BC7EDE">
              <w:rPr>
                <w:rFonts w:cstheme="minorHAnsi"/>
                <w:b/>
              </w:rPr>
              <w:t>Analizy w zakresie sposobu wykonywania przepisu wymaga projektowany art. 68s ust. 1 pkt 18 ustawy o s.h.p., który przewiduje uprawnienia Dyrektora TDT do dokonywania określonych czynności w toku kontroli ruchu drogowego dokonywanego przez przedstawicieli określonych służb czy instytucji, min.  przez funkcjonariuszy Służby Celno-Skarbowej. Uzasadnienie do projektu nie daje odpowiedzi, w jaki sposób i na jakich zasadach Dyrektor TDT ma uczestniczyć w czynnościach dokonywanych przez inne służby, w toku prowadzonych przez nie kontroli ruchu drogowego.</w:t>
            </w:r>
          </w:p>
        </w:tc>
        <w:tc>
          <w:tcPr>
            <w:tcW w:w="3827" w:type="dxa"/>
          </w:tcPr>
          <w:p w14:paraId="282C7022" w14:textId="77777777" w:rsidR="0075728B" w:rsidRDefault="0075728B" w:rsidP="0042202B">
            <w:pPr>
              <w:rPr>
                <w:rFonts w:cstheme="minorHAnsi"/>
                <w:b/>
              </w:rPr>
            </w:pPr>
            <w:r w:rsidRPr="00BC7EDE">
              <w:rPr>
                <w:rFonts w:cstheme="minorHAnsi"/>
                <w:b/>
              </w:rPr>
              <w:t>Uwaga wyjaśniona.</w:t>
            </w:r>
          </w:p>
          <w:p w14:paraId="75A818F9" w14:textId="069FC853" w:rsidR="0075728B" w:rsidRPr="00FA6A0C" w:rsidRDefault="0075728B" w:rsidP="0042202B">
            <w:pPr>
              <w:rPr>
                <w:rFonts w:cstheme="minorHAnsi"/>
                <w:b/>
              </w:rPr>
            </w:pPr>
            <w:r w:rsidRPr="00FA6A0C">
              <w:rPr>
                <w:rFonts w:cstheme="minorHAnsi"/>
                <w:b/>
              </w:rPr>
              <w:t>W ramach wykonywania kontroli ruchu drogowego przez funkcjonariusza Policji, inspektora Inspekcji Transportu Drogowego lub funkcjonariusza Służby Celno-Skarbowej Dyrektor TDT jest uprawniony do kontroli dokumentów związanych z ładunkiem oraz kontroli fizycznej tego ładunku w zakresie przestrzegania zgodności z aktami prawnymi, dla których Dyrektor TDT jest organem nadzoru rynku. Dyrektor TDT przeprowadza kontrolę zawsze z innym uprawnionym do tego organem. Dyrektor TDT nie ma uprawnienia do wykonywania samodzielnej kontroli, która wymagałaby stworzenia procedury. W przypadku wykonywania kontroli z innym uprawnionym organem Dyrektor TDT kontroluje dokumentację, a dopiero w przypadku gdy organy te podejmą decyzję o kontroli ładunku (obejmującą rozpakowanie tego ładunku), to tylko w takim przypadku Dyrektor TDT będzie mógł wykonać kontrolę fizyczną. Kontrola przebiega zgodnie z procedurą określoną w art. 68w</w:t>
            </w:r>
            <w:r>
              <w:rPr>
                <w:rFonts w:cstheme="minorHAnsi"/>
                <w:b/>
              </w:rPr>
              <w:t xml:space="preserve"> w zakresie zasad przeprowadzania kontroli. </w:t>
            </w:r>
          </w:p>
        </w:tc>
        <w:tc>
          <w:tcPr>
            <w:tcW w:w="3686" w:type="dxa"/>
          </w:tcPr>
          <w:p w14:paraId="6AF6F5E4" w14:textId="0D474DCF" w:rsidR="0075728B" w:rsidRPr="00BC7EDE" w:rsidRDefault="0075728B" w:rsidP="0042202B">
            <w:pPr>
              <w:rPr>
                <w:rFonts w:cstheme="minorHAnsi"/>
                <w:b/>
              </w:rPr>
            </w:pPr>
            <w:r>
              <w:rPr>
                <w:rFonts w:cstheme="minorHAnsi"/>
                <w:b/>
              </w:rPr>
              <w:t xml:space="preserve">Akceptacja </w:t>
            </w:r>
          </w:p>
        </w:tc>
      </w:tr>
      <w:tr w:rsidR="0075728B" w:rsidRPr="00F515D6" w14:paraId="0E430408" w14:textId="1F44110F" w:rsidTr="00D76FE7">
        <w:tc>
          <w:tcPr>
            <w:tcW w:w="562" w:type="dxa"/>
          </w:tcPr>
          <w:p w14:paraId="5830BF6E" w14:textId="77777777" w:rsidR="0075728B" w:rsidRPr="00BC7EDE" w:rsidRDefault="0075728B" w:rsidP="0042202B">
            <w:pPr>
              <w:rPr>
                <w:rFonts w:cstheme="minorHAnsi"/>
                <w:b/>
              </w:rPr>
            </w:pPr>
            <w:r w:rsidRPr="00BC7EDE">
              <w:rPr>
                <w:rFonts w:cstheme="minorHAnsi"/>
                <w:b/>
              </w:rPr>
              <w:t>87</w:t>
            </w:r>
          </w:p>
        </w:tc>
        <w:tc>
          <w:tcPr>
            <w:tcW w:w="993" w:type="dxa"/>
          </w:tcPr>
          <w:p w14:paraId="612CD6D8" w14:textId="77777777" w:rsidR="0075728B" w:rsidRPr="00BC7EDE" w:rsidRDefault="0075728B" w:rsidP="0042202B">
            <w:pPr>
              <w:rPr>
                <w:rFonts w:cstheme="minorHAnsi"/>
                <w:b/>
              </w:rPr>
            </w:pPr>
            <w:r w:rsidRPr="00BC7EDE">
              <w:rPr>
                <w:rFonts w:cstheme="minorHAnsi"/>
                <w:b/>
              </w:rPr>
              <w:t>MFiG</w:t>
            </w:r>
          </w:p>
        </w:tc>
        <w:tc>
          <w:tcPr>
            <w:tcW w:w="1701" w:type="dxa"/>
          </w:tcPr>
          <w:p w14:paraId="103B0E4A" w14:textId="77777777" w:rsidR="0075728B" w:rsidRPr="00BC7EDE" w:rsidRDefault="0075728B" w:rsidP="0042202B">
            <w:pPr>
              <w:rPr>
                <w:rFonts w:cstheme="minorHAnsi"/>
                <w:b/>
              </w:rPr>
            </w:pPr>
            <w:r w:rsidRPr="00BC7EDE">
              <w:rPr>
                <w:rFonts w:cstheme="minorHAnsi"/>
                <w:b/>
              </w:rPr>
              <w:t>Art. 129da ust. 1 PRD</w:t>
            </w:r>
          </w:p>
        </w:tc>
        <w:tc>
          <w:tcPr>
            <w:tcW w:w="5953" w:type="dxa"/>
          </w:tcPr>
          <w:p w14:paraId="7CF941F3" w14:textId="77777777" w:rsidR="0075728B" w:rsidRPr="00BC7EDE" w:rsidRDefault="0075728B" w:rsidP="0042202B">
            <w:pPr>
              <w:autoSpaceDE w:val="0"/>
              <w:autoSpaceDN w:val="0"/>
              <w:adjustRightInd w:val="0"/>
              <w:rPr>
                <w:rFonts w:cstheme="minorHAnsi"/>
                <w:b/>
              </w:rPr>
            </w:pPr>
            <w:r w:rsidRPr="00BC7EDE">
              <w:rPr>
                <w:rFonts w:cstheme="minorHAnsi"/>
                <w:b/>
              </w:rPr>
              <w:t>Analogiczna uwaga dotyczy projektowanego art. 129da ust. 1 ustawy – Prawo o ruchu drogowym dalej ustawa p.r.d.</w:t>
            </w:r>
          </w:p>
          <w:p w14:paraId="449FDCFD" w14:textId="02FE9DD2" w:rsidR="0075728B" w:rsidRPr="00BC7EDE" w:rsidRDefault="0075728B" w:rsidP="0042202B">
            <w:pPr>
              <w:autoSpaceDE w:val="0"/>
              <w:autoSpaceDN w:val="0"/>
              <w:adjustRightInd w:val="0"/>
              <w:rPr>
                <w:rFonts w:cstheme="minorHAnsi"/>
                <w:b/>
              </w:rPr>
            </w:pPr>
          </w:p>
        </w:tc>
        <w:tc>
          <w:tcPr>
            <w:tcW w:w="3827" w:type="dxa"/>
          </w:tcPr>
          <w:p w14:paraId="678D89ED" w14:textId="77777777" w:rsidR="0075728B" w:rsidRDefault="0075728B" w:rsidP="0042202B">
            <w:pPr>
              <w:rPr>
                <w:rFonts w:cstheme="minorHAnsi"/>
                <w:b/>
              </w:rPr>
            </w:pPr>
            <w:r w:rsidRPr="00BC7EDE">
              <w:rPr>
                <w:rFonts w:cstheme="minorHAnsi"/>
                <w:b/>
              </w:rPr>
              <w:t>Uwaga wyjaśniona.</w:t>
            </w:r>
          </w:p>
          <w:p w14:paraId="43EDA0EA" w14:textId="3BF1446E" w:rsidR="0075728B" w:rsidRPr="00BC7EDE" w:rsidRDefault="0075728B" w:rsidP="0042202B">
            <w:pPr>
              <w:rPr>
                <w:rFonts w:cstheme="minorHAnsi"/>
                <w:b/>
              </w:rPr>
            </w:pPr>
            <w:r w:rsidRPr="00FA6A0C">
              <w:rPr>
                <w:rFonts w:cstheme="minorHAnsi"/>
                <w:b/>
              </w:rPr>
              <w:t>W ramach wykonywania kontroli ruchu drogowego przez funkcjonariusza Policji, inspektora Inspekcji Transportu Drogowego lub funkcjonariusza Służby Celno-Skarbowej Dyrektor TDT jest uprawniony do kontroli dokumentów związanych z ładunkiem oraz kontroli fizycznej tego ładunku w zakresie przestrzegania zgodności z aktami prawnymi, dla których Dyrektor TDT jest organem nadzoru rynku. Dyrektor TDT przeprowadza kontrolę zawsze z innym uprawnionym do tego organem. Dyrektor TDT nie ma uprawnienia do wykonywania samodzielnej kontroli, która wymagałaby stworzenia procedury. W przypadku wykonywania kontroli z innym uprawnionym organem Dyrektor TDT kontroluje dokumentację, a dopiero w przypadku gdy organy te podejmą decyzję o kontroli ładunku (obejmującą rozpakowanie tego ładunku), to tylko w takim przypadku Dyrektor TDT będzie mógł wykonać kontrolę fizyczną. Kontrola przebiega zgodnie z procedurą określoną w art. 68w</w:t>
            </w:r>
            <w:r>
              <w:rPr>
                <w:rFonts w:cstheme="minorHAnsi"/>
                <w:b/>
              </w:rPr>
              <w:t xml:space="preserve"> w zakresie zasad przeprowadzania kontroli.</w:t>
            </w:r>
          </w:p>
        </w:tc>
        <w:tc>
          <w:tcPr>
            <w:tcW w:w="3686" w:type="dxa"/>
          </w:tcPr>
          <w:p w14:paraId="114F2F37" w14:textId="3BB8813D" w:rsidR="0075728B" w:rsidRPr="00BC7EDE" w:rsidRDefault="0075728B" w:rsidP="0042202B">
            <w:pPr>
              <w:rPr>
                <w:rFonts w:cstheme="minorHAnsi"/>
                <w:b/>
              </w:rPr>
            </w:pPr>
            <w:r>
              <w:rPr>
                <w:rFonts w:cstheme="minorHAnsi"/>
                <w:b/>
              </w:rPr>
              <w:t xml:space="preserve">Akceptacja </w:t>
            </w:r>
          </w:p>
        </w:tc>
      </w:tr>
      <w:tr w:rsidR="0075728B" w:rsidRPr="00F515D6" w14:paraId="4FE3E49E" w14:textId="25D2FE64" w:rsidTr="00D76FE7">
        <w:tc>
          <w:tcPr>
            <w:tcW w:w="562" w:type="dxa"/>
          </w:tcPr>
          <w:p w14:paraId="3BFE6446" w14:textId="77777777" w:rsidR="0075728B" w:rsidRPr="002063BF" w:rsidRDefault="0075728B" w:rsidP="0042202B">
            <w:pPr>
              <w:rPr>
                <w:rFonts w:cstheme="minorHAnsi"/>
                <w:b/>
              </w:rPr>
            </w:pPr>
            <w:bookmarkStart w:id="56" w:name="_Hlk222231809"/>
            <w:r w:rsidRPr="002063BF">
              <w:rPr>
                <w:rFonts w:cstheme="minorHAnsi"/>
                <w:b/>
              </w:rPr>
              <w:t>88</w:t>
            </w:r>
          </w:p>
        </w:tc>
        <w:tc>
          <w:tcPr>
            <w:tcW w:w="993" w:type="dxa"/>
          </w:tcPr>
          <w:p w14:paraId="61597102" w14:textId="77777777" w:rsidR="0075728B" w:rsidRDefault="0075728B" w:rsidP="0042202B">
            <w:pPr>
              <w:rPr>
                <w:rFonts w:cstheme="minorHAnsi"/>
                <w:b/>
              </w:rPr>
            </w:pPr>
            <w:r w:rsidRPr="002063BF">
              <w:rPr>
                <w:rFonts w:cstheme="minorHAnsi"/>
                <w:b/>
              </w:rPr>
              <w:t>MFiG</w:t>
            </w:r>
          </w:p>
          <w:p w14:paraId="3F514E51" w14:textId="77777777" w:rsidR="0075728B" w:rsidRDefault="0075728B" w:rsidP="0042202B">
            <w:pPr>
              <w:rPr>
                <w:rFonts w:cstheme="minorHAnsi"/>
                <w:b/>
                <w:color w:val="00B050"/>
              </w:rPr>
            </w:pPr>
            <w:r>
              <w:rPr>
                <w:rFonts w:cstheme="minorHAnsi"/>
                <w:b/>
                <w:color w:val="00B050"/>
              </w:rPr>
              <w:t>+ uwaga 13 RCL (art. 68s ust. 1 pkt 4)</w:t>
            </w:r>
          </w:p>
          <w:p w14:paraId="2D36452E" w14:textId="77777777" w:rsidR="0075728B" w:rsidRDefault="0075728B" w:rsidP="0042202B">
            <w:pPr>
              <w:rPr>
                <w:rFonts w:cstheme="minorHAnsi"/>
                <w:b/>
                <w:color w:val="00B050"/>
              </w:rPr>
            </w:pPr>
          </w:p>
          <w:p w14:paraId="1608C1B1" w14:textId="77777777" w:rsidR="0075728B" w:rsidRDefault="0075728B" w:rsidP="0042202B">
            <w:pPr>
              <w:rPr>
                <w:rFonts w:cstheme="minorHAnsi"/>
                <w:b/>
                <w:color w:val="00B050"/>
              </w:rPr>
            </w:pPr>
            <w:r>
              <w:rPr>
                <w:rFonts w:cstheme="minorHAnsi"/>
                <w:b/>
                <w:color w:val="00B050"/>
              </w:rPr>
              <w:t>+uwaga 34 MFiG (art. 68s ust. 1 pkt 4)</w:t>
            </w:r>
          </w:p>
          <w:p w14:paraId="68FB5DD1" w14:textId="77777777" w:rsidR="0075728B" w:rsidRDefault="0075728B" w:rsidP="0042202B">
            <w:pPr>
              <w:rPr>
                <w:rFonts w:cstheme="minorHAnsi"/>
                <w:b/>
                <w:color w:val="00B050"/>
              </w:rPr>
            </w:pPr>
          </w:p>
          <w:p w14:paraId="0E4B15D0" w14:textId="77777777" w:rsidR="0075728B" w:rsidRDefault="0075728B" w:rsidP="0042202B">
            <w:pPr>
              <w:rPr>
                <w:rFonts w:cstheme="minorHAnsi"/>
                <w:b/>
                <w:color w:val="00B050"/>
              </w:rPr>
            </w:pPr>
            <w:r>
              <w:rPr>
                <w:rFonts w:cstheme="minorHAnsi"/>
                <w:b/>
                <w:color w:val="00B050"/>
              </w:rPr>
              <w:t>+ uwaga 35 MFiG (art. 68s ust. 1 pkt 1)</w:t>
            </w:r>
          </w:p>
          <w:p w14:paraId="71907BD7" w14:textId="77777777" w:rsidR="0075728B" w:rsidRDefault="0075728B" w:rsidP="0042202B">
            <w:pPr>
              <w:rPr>
                <w:rFonts w:cstheme="minorHAnsi"/>
                <w:b/>
                <w:color w:val="00B050"/>
              </w:rPr>
            </w:pPr>
          </w:p>
          <w:p w14:paraId="4EEBD88C" w14:textId="77777777" w:rsidR="0075728B" w:rsidRDefault="0075728B" w:rsidP="0042202B">
            <w:pPr>
              <w:rPr>
                <w:rFonts w:cstheme="minorHAnsi"/>
                <w:b/>
                <w:color w:val="00B050"/>
              </w:rPr>
            </w:pPr>
            <w:r>
              <w:rPr>
                <w:rFonts w:cstheme="minorHAnsi"/>
                <w:b/>
                <w:color w:val="00B050"/>
              </w:rPr>
              <w:t>+uwaga 59 MC (art. 68s ust. 1 pkt 16)</w:t>
            </w:r>
          </w:p>
          <w:p w14:paraId="5E564331" w14:textId="77777777" w:rsidR="0075728B" w:rsidRDefault="0075728B" w:rsidP="0042202B">
            <w:pPr>
              <w:rPr>
                <w:rFonts w:cstheme="minorHAnsi"/>
                <w:b/>
                <w:color w:val="00B050"/>
              </w:rPr>
            </w:pPr>
          </w:p>
          <w:p w14:paraId="48DF4CFF" w14:textId="77777777" w:rsidR="0075728B" w:rsidRDefault="0075728B" w:rsidP="0042202B">
            <w:pPr>
              <w:rPr>
                <w:rFonts w:cstheme="minorHAnsi"/>
                <w:b/>
                <w:color w:val="00B050"/>
              </w:rPr>
            </w:pPr>
            <w:r>
              <w:rPr>
                <w:rFonts w:cstheme="minorHAnsi"/>
                <w:b/>
                <w:color w:val="00B050"/>
              </w:rPr>
              <w:t>+uwaga 86 MC (art. 68s ust. 1 pkt 18)</w:t>
            </w:r>
          </w:p>
          <w:p w14:paraId="2959A234" w14:textId="77777777" w:rsidR="0075728B" w:rsidRPr="002063BF" w:rsidRDefault="0075728B" w:rsidP="0042202B">
            <w:pPr>
              <w:rPr>
                <w:rFonts w:cstheme="minorHAnsi"/>
                <w:b/>
              </w:rPr>
            </w:pPr>
          </w:p>
        </w:tc>
        <w:tc>
          <w:tcPr>
            <w:tcW w:w="1701" w:type="dxa"/>
          </w:tcPr>
          <w:p w14:paraId="6EB07762" w14:textId="77777777" w:rsidR="0075728B" w:rsidRPr="002063BF" w:rsidRDefault="0075728B" w:rsidP="0042202B">
            <w:pPr>
              <w:rPr>
                <w:rFonts w:cstheme="minorHAnsi"/>
                <w:b/>
              </w:rPr>
            </w:pPr>
            <w:r w:rsidRPr="002063BF">
              <w:rPr>
                <w:rFonts w:cstheme="minorHAnsi"/>
                <w:b/>
              </w:rPr>
              <w:t>Art. 68s ust. 1 pkt 20 UH</w:t>
            </w:r>
          </w:p>
        </w:tc>
        <w:tc>
          <w:tcPr>
            <w:tcW w:w="5953" w:type="dxa"/>
          </w:tcPr>
          <w:p w14:paraId="02E0EA49" w14:textId="77777777" w:rsidR="0075728B" w:rsidRPr="002063BF" w:rsidRDefault="0075728B" w:rsidP="0042202B">
            <w:pPr>
              <w:autoSpaceDE w:val="0"/>
              <w:autoSpaceDN w:val="0"/>
              <w:adjustRightInd w:val="0"/>
              <w:rPr>
                <w:rFonts w:cstheme="minorHAnsi"/>
                <w:b/>
              </w:rPr>
            </w:pPr>
            <w:r w:rsidRPr="002063BF">
              <w:rPr>
                <w:rFonts w:cstheme="minorHAnsi"/>
                <w:b/>
              </w:rPr>
              <w:t>Art. 1 pkt 10 projektu ustawy wprowadza nowe brzmienie art. 68s ust. 1 pkt 20 ustawy s.h.p:</w:t>
            </w:r>
          </w:p>
          <w:p w14:paraId="0988936B" w14:textId="77777777" w:rsidR="0075728B" w:rsidRPr="002063BF" w:rsidRDefault="0075728B" w:rsidP="0042202B">
            <w:pPr>
              <w:pStyle w:val="TekstpismaMF"/>
              <w:spacing w:before="0" w:line="240" w:lineRule="auto"/>
              <w:rPr>
                <w:rFonts w:asciiTheme="minorHAnsi" w:hAnsiTheme="minorHAnsi" w:cstheme="minorHAnsi"/>
                <w:b/>
              </w:rPr>
            </w:pPr>
            <w:r w:rsidRPr="002063BF">
              <w:rPr>
                <w:rFonts w:asciiTheme="minorHAnsi" w:hAnsiTheme="minorHAnsi" w:cstheme="minorHAnsi"/>
                <w:b/>
                <w:i/>
                <w:iCs/>
              </w:rPr>
              <w:t xml:space="preserve">„20) nieodpłatnego uzyskiwania od organów Krajowej Administracji Skarbowej danych dotyczących podmiotów wprowadzających do obrotu pojazdy, przedmioty wyposażenia lub części, w tym informacji objętych tajemnicą celną, niezbędnych do wykonywania zadań Dyrektora TDT jako organ nadzoru rynku;”. </w:t>
            </w:r>
            <w:r w:rsidRPr="002063BF">
              <w:rPr>
                <w:rFonts w:asciiTheme="minorHAnsi" w:hAnsiTheme="minorHAnsi" w:cstheme="minorHAnsi"/>
                <w:b/>
              </w:rPr>
              <w:t>Projektowany zapis jest zbyt ogólny, należy doprecyzować o jakie konkretnie dane chodzi np. imię nazwisko/nazwa, adres etc. Jednocześnie należy rozważyć czy inne dane ze zgłoszeń celnych np. dot. ilość i opisu towaru nie będzie konieczny dla organu nadzoru rynku do wykonywania zadań.</w:t>
            </w:r>
          </w:p>
          <w:p w14:paraId="34B6A733" w14:textId="58A743A3" w:rsidR="0075728B" w:rsidRPr="002063BF" w:rsidRDefault="0075728B" w:rsidP="0042202B">
            <w:pPr>
              <w:pStyle w:val="TekstpismaMF"/>
              <w:spacing w:before="0" w:line="240" w:lineRule="auto"/>
              <w:rPr>
                <w:rFonts w:asciiTheme="minorHAnsi" w:hAnsiTheme="minorHAnsi" w:cstheme="minorHAnsi"/>
                <w:b/>
              </w:rPr>
            </w:pPr>
            <w:r w:rsidRPr="002063BF">
              <w:rPr>
                <w:rFonts w:asciiTheme="minorHAnsi" w:hAnsiTheme="minorHAnsi" w:cstheme="minorHAnsi"/>
                <w:b/>
              </w:rPr>
              <w:t>Ponadto zgodnie z art. 95b ustawy – Prawo celne, który dotyczy tajemnicy celnej w zakresie nieuregulowanym w tej ustawie do wskazanej tajemnicy stosuje się odpowiednio określone przepisy ustawy – Ordynacja podatkowa, dotyczące tajemnicy skarbowej. Zauważamy, że przepisy ustawy – Ordynacja podatkowa nie przewidują możliwości udostępnienia danych objętych tą tajemnicą Dyrektorowi TDT. W konsekwencji wprowadzany przepis (art. 68s ust. 1 pkt 20) może okazać się w praktyce niewystarczający do pozyskania przez Dyrektora TDT danych objętych tajemnicą celną.</w:t>
            </w:r>
          </w:p>
        </w:tc>
        <w:tc>
          <w:tcPr>
            <w:tcW w:w="3827" w:type="dxa"/>
          </w:tcPr>
          <w:p w14:paraId="40CF88BE" w14:textId="4BBC43A9" w:rsidR="0075728B" w:rsidRPr="002063BF" w:rsidRDefault="0075728B" w:rsidP="0042202B">
            <w:pPr>
              <w:pStyle w:val="ZLITUSTzmustliter"/>
              <w:spacing w:line="240" w:lineRule="auto"/>
              <w:ind w:left="0" w:firstLine="0"/>
              <w:jc w:val="left"/>
              <w:rPr>
                <w:rStyle w:val="Teksttreci20"/>
                <w:rFonts w:asciiTheme="minorHAnsi" w:eastAsiaTheme="minorHAnsi" w:hAnsiTheme="minorHAnsi" w:cstheme="minorHAnsi"/>
                <w:b/>
                <w:bCs w:val="0"/>
                <w:color w:val="auto"/>
                <w:sz w:val="22"/>
                <w:szCs w:val="22"/>
                <w:u w:val="none"/>
              </w:rPr>
            </w:pPr>
            <w:r w:rsidRPr="002063BF">
              <w:rPr>
                <w:rStyle w:val="Teksttreci20"/>
                <w:rFonts w:asciiTheme="minorHAnsi" w:eastAsiaTheme="minorHAnsi" w:hAnsiTheme="minorHAnsi" w:cstheme="minorHAnsi"/>
                <w:b/>
                <w:bCs w:val="0"/>
                <w:color w:val="auto"/>
                <w:sz w:val="22"/>
                <w:szCs w:val="22"/>
                <w:u w:val="none"/>
              </w:rPr>
              <w:t xml:space="preserve">Uwaga uwzględniona – doprecyzowanie pkt + dodanie przepisu.  </w:t>
            </w:r>
          </w:p>
          <w:p w14:paraId="6207363D" w14:textId="77777777" w:rsidR="0075728B" w:rsidRPr="002063BF" w:rsidRDefault="0075728B" w:rsidP="0042202B">
            <w:pPr>
              <w:rPr>
                <w:rStyle w:val="Teksttreci20"/>
                <w:rFonts w:asciiTheme="minorHAnsi" w:eastAsiaTheme="minorHAnsi" w:hAnsiTheme="minorHAnsi" w:cstheme="minorHAnsi"/>
                <w:b/>
                <w:i/>
                <w:color w:val="auto"/>
                <w:sz w:val="22"/>
                <w:szCs w:val="22"/>
                <w:u w:val="none"/>
              </w:rPr>
            </w:pPr>
          </w:p>
          <w:p w14:paraId="49B8B51A" w14:textId="7128F46B" w:rsidR="0075728B" w:rsidRDefault="0075728B" w:rsidP="0042202B">
            <w:pPr>
              <w:pStyle w:val="ZPKTzmpktartykuempunktem"/>
              <w:spacing w:line="240" w:lineRule="auto"/>
              <w:ind w:left="0" w:firstLine="29"/>
              <w:jc w:val="left"/>
              <w:rPr>
                <w:rStyle w:val="Teksttreci20"/>
                <w:rFonts w:asciiTheme="minorHAnsi" w:eastAsiaTheme="minorHAnsi" w:hAnsiTheme="minorHAnsi" w:cstheme="minorHAnsi"/>
                <w:b/>
                <w:bCs w:val="0"/>
                <w:i/>
                <w:color w:val="auto"/>
                <w:sz w:val="22"/>
                <w:szCs w:val="22"/>
                <w:u w:val="none"/>
              </w:rPr>
            </w:pPr>
            <w:r w:rsidRPr="002063BF">
              <w:rPr>
                <w:rStyle w:val="Teksttreci20"/>
                <w:rFonts w:asciiTheme="minorHAnsi" w:eastAsiaTheme="minorHAnsi" w:hAnsiTheme="minorHAnsi" w:cstheme="minorHAnsi"/>
                <w:b/>
                <w:bCs w:val="0"/>
                <w:i/>
                <w:color w:val="auto"/>
                <w:sz w:val="22"/>
                <w:szCs w:val="22"/>
                <w:u w:val="none"/>
              </w:rPr>
              <w:t>„</w:t>
            </w:r>
            <w:r>
              <w:rPr>
                <w:rStyle w:val="Teksttreci20"/>
                <w:rFonts w:asciiTheme="minorHAnsi" w:eastAsiaTheme="minorHAnsi" w:hAnsiTheme="minorHAnsi" w:cstheme="minorHAnsi"/>
                <w:b/>
                <w:bCs w:val="0"/>
                <w:i/>
                <w:color w:val="auto"/>
                <w:sz w:val="22"/>
                <w:szCs w:val="22"/>
                <w:u w:val="none"/>
              </w:rPr>
              <w:t xml:space="preserve">Art. 68s. 1 pkt </w:t>
            </w:r>
            <w:r w:rsidRPr="002063BF">
              <w:rPr>
                <w:rStyle w:val="Teksttreci20"/>
                <w:rFonts w:asciiTheme="minorHAnsi" w:eastAsiaTheme="minorHAnsi" w:hAnsiTheme="minorHAnsi" w:cstheme="minorHAnsi"/>
                <w:b/>
                <w:bCs w:val="0"/>
                <w:i/>
                <w:color w:val="auto"/>
                <w:sz w:val="22"/>
                <w:szCs w:val="22"/>
                <w:u w:val="none"/>
              </w:rPr>
              <w:t>1</w:t>
            </w:r>
            <w:r>
              <w:rPr>
                <w:rStyle w:val="Teksttreci20"/>
                <w:rFonts w:asciiTheme="minorHAnsi" w:eastAsiaTheme="minorHAnsi" w:hAnsiTheme="minorHAnsi" w:cstheme="minorHAnsi"/>
                <w:b/>
                <w:bCs w:val="0"/>
                <w:i/>
                <w:color w:val="auto"/>
                <w:sz w:val="22"/>
                <w:szCs w:val="22"/>
                <w:u w:val="none"/>
              </w:rPr>
              <w:t>8</w:t>
            </w:r>
            <w:r w:rsidRPr="002063BF">
              <w:rPr>
                <w:rStyle w:val="Teksttreci20"/>
                <w:rFonts w:asciiTheme="minorHAnsi" w:eastAsiaTheme="minorHAnsi" w:hAnsiTheme="minorHAnsi" w:cstheme="minorHAnsi"/>
                <w:b/>
                <w:bCs w:val="0"/>
                <w:i/>
                <w:color w:val="auto"/>
                <w:sz w:val="22"/>
                <w:szCs w:val="22"/>
                <w:u w:val="none"/>
              </w:rPr>
              <w:t>)</w:t>
            </w:r>
            <w:r>
              <w:rPr>
                <w:rStyle w:val="Teksttreci20"/>
                <w:rFonts w:asciiTheme="minorHAnsi" w:eastAsiaTheme="minorHAnsi" w:hAnsiTheme="minorHAnsi" w:cstheme="minorHAnsi"/>
                <w:b/>
                <w:bCs w:val="0"/>
                <w:i/>
                <w:color w:val="auto"/>
                <w:sz w:val="22"/>
                <w:szCs w:val="22"/>
                <w:u w:val="none"/>
              </w:rPr>
              <w:t xml:space="preserve"> </w:t>
            </w:r>
            <w:r w:rsidRPr="002063BF">
              <w:rPr>
                <w:rStyle w:val="Teksttreci20"/>
                <w:rFonts w:asciiTheme="minorHAnsi" w:eastAsiaTheme="minorHAnsi" w:hAnsiTheme="minorHAnsi" w:cstheme="minorHAnsi"/>
                <w:b/>
                <w:bCs w:val="0"/>
                <w:i/>
                <w:color w:val="auto"/>
                <w:sz w:val="22"/>
                <w:szCs w:val="22"/>
                <w:u w:val="none"/>
              </w:rPr>
              <w:t>nieodpłatnego uzyskiwania od organów Krajowej Administracji Skarbowej</w:t>
            </w:r>
            <w:r>
              <w:rPr>
                <w:rStyle w:val="Teksttreci20"/>
                <w:rFonts w:asciiTheme="minorHAnsi" w:eastAsiaTheme="minorHAnsi" w:hAnsiTheme="minorHAnsi" w:cstheme="minorHAnsi"/>
                <w:b/>
                <w:bCs w:val="0"/>
                <w:i/>
                <w:color w:val="auto"/>
                <w:sz w:val="22"/>
                <w:szCs w:val="22"/>
                <w:u w:val="none"/>
              </w:rPr>
              <w:t>,</w:t>
            </w:r>
            <w:r w:rsidRPr="002063BF">
              <w:rPr>
                <w:rStyle w:val="Teksttreci20"/>
                <w:rFonts w:asciiTheme="minorHAnsi" w:eastAsiaTheme="minorHAnsi" w:hAnsiTheme="minorHAnsi" w:cstheme="minorHAnsi"/>
                <w:b/>
                <w:bCs w:val="0"/>
                <w:i/>
                <w:color w:val="auto"/>
                <w:sz w:val="22"/>
                <w:szCs w:val="22"/>
                <w:u w:val="none"/>
              </w:rPr>
              <w:t xml:space="preserve"> w zakresie ich właściwości</w:t>
            </w:r>
            <w:r>
              <w:rPr>
                <w:rStyle w:val="Teksttreci20"/>
                <w:rFonts w:asciiTheme="minorHAnsi" w:eastAsiaTheme="minorHAnsi" w:hAnsiTheme="minorHAnsi" w:cstheme="minorHAnsi"/>
                <w:b/>
                <w:bCs w:val="0"/>
                <w:i/>
                <w:color w:val="auto"/>
                <w:sz w:val="22"/>
                <w:szCs w:val="22"/>
                <w:u w:val="none"/>
              </w:rPr>
              <w:t>,</w:t>
            </w:r>
            <w:r w:rsidRPr="002063BF">
              <w:rPr>
                <w:rStyle w:val="Teksttreci20"/>
                <w:rFonts w:asciiTheme="minorHAnsi" w:eastAsiaTheme="minorHAnsi" w:hAnsiTheme="minorHAnsi" w:cstheme="minorHAnsi"/>
                <w:b/>
                <w:bCs w:val="0"/>
                <w:i/>
                <w:color w:val="auto"/>
                <w:sz w:val="22"/>
                <w:szCs w:val="22"/>
                <w:u w:val="none"/>
              </w:rPr>
              <w:t xml:space="preserve"> danych dotyczących podmiotów wprowadzających do obrotu pojazdy, przedmioty wyposażenia lub części, w tym informacji objętych tajemnicą celną, niezbędnych do wykonywania zadań Dyrektora TDT jako organ nadzoru rynku</w:t>
            </w:r>
            <w:r>
              <w:rPr>
                <w:rStyle w:val="Teksttreci20"/>
                <w:rFonts w:asciiTheme="minorHAnsi" w:eastAsiaTheme="minorHAnsi" w:hAnsiTheme="minorHAnsi" w:cstheme="minorHAnsi"/>
                <w:b/>
                <w:bCs w:val="0"/>
                <w:i/>
                <w:color w:val="auto"/>
                <w:sz w:val="22"/>
                <w:szCs w:val="22"/>
                <w:u w:val="none"/>
              </w:rPr>
              <w:t>,</w:t>
            </w:r>
            <w:r w:rsidRPr="002063BF">
              <w:rPr>
                <w:rStyle w:val="Teksttreci20"/>
                <w:rFonts w:asciiTheme="minorHAnsi" w:eastAsiaTheme="minorHAnsi" w:hAnsiTheme="minorHAnsi" w:cstheme="minorHAnsi"/>
                <w:b/>
                <w:bCs w:val="0"/>
                <w:i/>
                <w:color w:val="auto"/>
                <w:sz w:val="22"/>
                <w:szCs w:val="22"/>
                <w:u w:val="none"/>
              </w:rPr>
              <w:t xml:space="preserve"> z uwzględnieniem realnych możliwości organizacyjnych i finansowych tych organów;”</w:t>
            </w:r>
          </w:p>
          <w:p w14:paraId="04449486" w14:textId="77777777" w:rsidR="0075728B" w:rsidRPr="002063BF" w:rsidRDefault="0075728B" w:rsidP="0042202B">
            <w:pPr>
              <w:pStyle w:val="ZPKTzmpktartykuempunktem"/>
              <w:spacing w:line="240" w:lineRule="auto"/>
              <w:ind w:left="0" w:firstLine="29"/>
              <w:jc w:val="left"/>
              <w:rPr>
                <w:rStyle w:val="Teksttreci20"/>
                <w:rFonts w:asciiTheme="minorHAnsi" w:eastAsiaTheme="minorHAnsi" w:hAnsiTheme="minorHAnsi" w:cstheme="minorHAnsi"/>
                <w:b/>
                <w:bCs w:val="0"/>
                <w:i/>
                <w:color w:val="auto"/>
                <w:sz w:val="22"/>
                <w:szCs w:val="22"/>
                <w:u w:val="none"/>
              </w:rPr>
            </w:pPr>
          </w:p>
          <w:p w14:paraId="3AD6B297" w14:textId="56825C8C" w:rsidR="0075728B" w:rsidRPr="00D2218F" w:rsidRDefault="0075728B" w:rsidP="0042202B">
            <w:pPr>
              <w:pStyle w:val="Default"/>
              <w:rPr>
                <w:rStyle w:val="Teksttreci20"/>
                <w:rFonts w:asciiTheme="minorHAnsi" w:eastAsiaTheme="minorHAnsi" w:hAnsiTheme="minorHAnsi" w:cstheme="minorHAnsi"/>
                <w:b/>
                <w:i/>
                <w:color w:val="auto"/>
                <w:sz w:val="22"/>
                <w:szCs w:val="22"/>
                <w:u w:val="none"/>
              </w:rPr>
            </w:pPr>
            <w:bookmarkStart w:id="57" w:name="_Hlk225261624"/>
            <w:r>
              <w:rPr>
                <w:rStyle w:val="Teksttreci20"/>
                <w:rFonts w:asciiTheme="minorHAnsi" w:eastAsiaTheme="minorHAnsi" w:hAnsiTheme="minorHAnsi" w:cstheme="minorHAnsi"/>
                <w:b/>
                <w:i/>
                <w:color w:val="auto"/>
                <w:sz w:val="22"/>
                <w:szCs w:val="22"/>
                <w:u w:val="none"/>
              </w:rPr>
              <w:t>„</w:t>
            </w:r>
            <w:r w:rsidRPr="00D2218F">
              <w:rPr>
                <w:rStyle w:val="Teksttreci20"/>
                <w:rFonts w:asciiTheme="minorHAnsi" w:eastAsiaTheme="minorHAnsi" w:hAnsiTheme="minorHAnsi" w:cstheme="minorHAnsi"/>
                <w:b/>
                <w:i/>
                <w:color w:val="auto"/>
                <w:sz w:val="22"/>
                <w:szCs w:val="22"/>
                <w:u w:val="none"/>
              </w:rPr>
              <w:t>Art. 68zl. 1. Szef Krajowej Administracji Skarbowej sporządza i przedkłada Dyrektorowi TDT jako organowi nadzoru rynku, w terminie do 15 dnia miesiąca następującego po upływie każdego kwartału, informację o podmiotach gospodarczych wprowadzających do obrotu pojazdy, przedmioty wyposażenia oraz części, o których mowa w art. 3 ust. 3 ustawy.</w:t>
            </w:r>
          </w:p>
          <w:p w14:paraId="598E18EE" w14:textId="77777777" w:rsidR="0075728B" w:rsidRPr="00D2218F" w:rsidRDefault="0075728B" w:rsidP="0042202B">
            <w:pPr>
              <w:pStyle w:val="Default"/>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2. Informacja, o której mowa w ust. 1, zawiera:</w:t>
            </w:r>
          </w:p>
          <w:p w14:paraId="3B5F46A4" w14:textId="77777777" w:rsidR="0075728B" w:rsidRPr="00D2218F" w:rsidRDefault="0075728B" w:rsidP="0042202B">
            <w:pPr>
              <w:pStyle w:val="Default"/>
              <w:numPr>
                <w:ilvl w:val="0"/>
                <w:numId w:val="13"/>
              </w:numPr>
              <w:ind w:left="1020" w:hanging="510"/>
              <w:rPr>
                <w:rStyle w:val="Teksttreci20"/>
                <w:rFonts w:asciiTheme="minorHAnsi" w:eastAsiaTheme="minorHAnsi" w:hAnsiTheme="minorHAnsi" w:cstheme="minorHAnsi"/>
                <w:b/>
                <w:i/>
                <w:color w:val="auto"/>
                <w:sz w:val="22"/>
                <w:szCs w:val="22"/>
                <w:u w:val="none"/>
              </w:rPr>
            </w:pPr>
            <w:bookmarkStart w:id="58" w:name="_Hlk225261134"/>
            <w:r w:rsidRPr="00D2218F">
              <w:rPr>
                <w:rStyle w:val="Teksttreci20"/>
                <w:rFonts w:asciiTheme="minorHAnsi" w:eastAsiaTheme="minorHAnsi" w:hAnsiTheme="minorHAnsi" w:cstheme="minorHAnsi"/>
                <w:b/>
                <w:i/>
                <w:color w:val="auto"/>
                <w:sz w:val="22"/>
                <w:szCs w:val="22"/>
                <w:u w:val="none"/>
              </w:rPr>
              <w:t>identyfikację podmiotu gospodarczego zawierającą m.in. imię i nazwisko albo nazwę oraz adres zamieszkania albo siedziby, albo formę prawną tego podmiotu gospodarczego;</w:t>
            </w:r>
          </w:p>
          <w:p w14:paraId="5125D5CC" w14:textId="77777777" w:rsidR="0075728B" w:rsidRPr="00D2218F" w:rsidRDefault="0075728B" w:rsidP="0042202B">
            <w:pPr>
              <w:pStyle w:val="Default"/>
              <w:numPr>
                <w:ilvl w:val="0"/>
                <w:numId w:val="13"/>
              </w:numPr>
              <w:ind w:left="1020" w:hanging="510"/>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kategorie towaru obejmujące co najmniej nazwę, markę model, typ, rodzaj pojazdu, przedmiotu wyposażenia lub części, w tym kod CN towaru, oraz ich ilość;</w:t>
            </w:r>
          </w:p>
          <w:p w14:paraId="3387D33E" w14:textId="77777777" w:rsidR="0075728B" w:rsidRPr="00D2218F" w:rsidRDefault="0075728B" w:rsidP="0042202B">
            <w:pPr>
              <w:pStyle w:val="Default"/>
              <w:numPr>
                <w:ilvl w:val="0"/>
                <w:numId w:val="13"/>
              </w:numPr>
              <w:ind w:left="1020" w:hanging="510"/>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liczbę i częstotliwość składanych zgłoszeń przez poszczególne podmioty gospodarcze oraz liczbę pojazdów, przedmiotów wyposażenia oraz części objętych tymi zgłoszeniami;</w:t>
            </w:r>
          </w:p>
          <w:p w14:paraId="7CBFCD15" w14:textId="77777777" w:rsidR="0075728B" w:rsidRPr="00D2218F" w:rsidRDefault="0075728B" w:rsidP="0042202B">
            <w:pPr>
              <w:pStyle w:val="Default"/>
              <w:numPr>
                <w:ilvl w:val="0"/>
                <w:numId w:val="13"/>
              </w:numPr>
              <w:ind w:left="1020" w:hanging="510"/>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informacje o liczbie, częstotliwości oraz przypadkach stwierdzonych niezgodności i ich charakterze w odniesieniu do poszczególnych pojazdów, przedmiotów wyposażenia lub części;</w:t>
            </w:r>
          </w:p>
          <w:p w14:paraId="652B9D7B" w14:textId="77777777" w:rsidR="0075728B" w:rsidRPr="00D2218F" w:rsidRDefault="0075728B" w:rsidP="0042202B">
            <w:pPr>
              <w:pStyle w:val="Default"/>
              <w:numPr>
                <w:ilvl w:val="0"/>
                <w:numId w:val="13"/>
              </w:numPr>
              <w:ind w:left="1020" w:hanging="510"/>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kraj pochodzenia producenta pojazdu, przedmiotu wyposażenia lub części oraz kraj, z którego pojazdy, przedmioty wyposażenia lub części zostały sprowadzone, jeżeli jest on inny niż kraj pochodzenia producenta pojazdu, przedmiotu wyposażenia lub części;</w:t>
            </w:r>
          </w:p>
          <w:p w14:paraId="55456574" w14:textId="77777777" w:rsidR="0075728B" w:rsidRPr="00D2218F" w:rsidRDefault="0075728B" w:rsidP="0042202B">
            <w:pPr>
              <w:pStyle w:val="ZARTzmartartykuempunktem"/>
              <w:spacing w:line="240" w:lineRule="auto"/>
              <w:ind w:left="1020" w:hanging="510"/>
              <w:jc w:val="left"/>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6)</w:t>
            </w:r>
            <w:r w:rsidRPr="00D2218F">
              <w:rPr>
                <w:rStyle w:val="Teksttreci20"/>
                <w:rFonts w:asciiTheme="minorHAnsi" w:eastAsiaTheme="minorHAnsi" w:hAnsiTheme="minorHAnsi" w:cstheme="minorHAnsi"/>
                <w:b/>
                <w:i/>
                <w:color w:val="auto"/>
                <w:sz w:val="22"/>
                <w:szCs w:val="22"/>
                <w:u w:val="none"/>
              </w:rPr>
              <w:tab/>
              <w:t>cenę netto wprowadzonego do obrotu pojazdu.</w:t>
            </w:r>
          </w:p>
          <w:bookmarkEnd w:id="58"/>
          <w:p w14:paraId="6251F0F3" w14:textId="77777777" w:rsidR="0075728B" w:rsidRPr="00D2218F" w:rsidRDefault="0075728B" w:rsidP="0042202B">
            <w:pPr>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3. Informacje przekazywane zgodnie z ust. 1 mogą pozostawać w interfejsach elektronicznych wykorzystywanych do ich przekazywania i przetwarzania nie dłużej, niż jest to konieczne, a Dyrektor TDT jako organ nadzoru rynku zapewnia ich poufność.</w:t>
            </w:r>
          </w:p>
          <w:p w14:paraId="7C9583FF" w14:textId="77777777" w:rsidR="0075728B" w:rsidRPr="00D2218F" w:rsidRDefault="0075728B" w:rsidP="0042202B">
            <w:pPr>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4.  Dyrektor TDT jako organ nadzoru rynku wykorzystuje informację, o której mowa w ust. 1, wyłącznie na potrzeby egzekwowania postanowień  ustawy.</w:t>
            </w:r>
          </w:p>
          <w:p w14:paraId="0EF5D928" w14:textId="77777777" w:rsidR="0075728B" w:rsidRPr="00D2218F" w:rsidRDefault="0075728B" w:rsidP="0042202B">
            <w:pPr>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5. Minister właściwy do spraw informatyzacji sporządza na podstawie danych zawartych w ewidencji i przedkłada Dyrektorowi TDT jako organowi nadzoru rynku, w terminie do 15 dnia drugiego miesiąca następującego po upływie każdego kwartału, informację o nowo zarejestrowanych pojazdach.</w:t>
            </w:r>
          </w:p>
          <w:p w14:paraId="08988F67" w14:textId="34262EF3" w:rsidR="0075728B" w:rsidRPr="00D2218F" w:rsidRDefault="0075728B" w:rsidP="0042202B">
            <w:pPr>
              <w:pStyle w:val="Default"/>
              <w:rPr>
                <w:rStyle w:val="Teksttreci20"/>
                <w:rFonts w:asciiTheme="minorHAnsi" w:eastAsiaTheme="minorHAnsi" w:hAnsiTheme="minorHAnsi" w:cstheme="minorHAnsi"/>
                <w:b/>
                <w:i/>
                <w:color w:val="auto"/>
                <w:sz w:val="22"/>
                <w:szCs w:val="22"/>
                <w:u w:val="none"/>
              </w:rPr>
            </w:pPr>
            <w:r w:rsidRPr="00D2218F">
              <w:rPr>
                <w:rStyle w:val="Teksttreci20"/>
                <w:rFonts w:asciiTheme="minorHAnsi" w:eastAsiaTheme="minorHAnsi" w:hAnsiTheme="minorHAnsi" w:cstheme="minorHAnsi"/>
                <w:b/>
                <w:i/>
                <w:color w:val="auto"/>
                <w:sz w:val="22"/>
                <w:szCs w:val="22"/>
                <w:u w:val="none"/>
              </w:rPr>
              <w:t>6. Informacja, o której mowa w ust. 5, zawiera zestawienie zarejestrowanych pojazdów w danym kwartale obejmującym rodzaj pojazdu, kategorię, producenta, markę, model, numer świadectwa homologacji typu oraz datę rejestracji.</w:t>
            </w:r>
            <w:r>
              <w:rPr>
                <w:rStyle w:val="Teksttreci20"/>
                <w:rFonts w:asciiTheme="minorHAnsi" w:eastAsiaTheme="minorHAnsi" w:hAnsiTheme="minorHAnsi" w:cstheme="minorHAnsi"/>
                <w:b/>
                <w:i/>
                <w:color w:val="auto"/>
                <w:sz w:val="22"/>
                <w:szCs w:val="22"/>
                <w:u w:val="none"/>
              </w:rPr>
              <w:t>”</w:t>
            </w:r>
          </w:p>
          <w:bookmarkEnd w:id="57"/>
          <w:p w14:paraId="3DC85A16" w14:textId="71D96824" w:rsidR="0075728B" w:rsidRDefault="0075728B" w:rsidP="0042202B">
            <w:pPr>
              <w:pStyle w:val="ARTartustawynprozporzdzenia"/>
              <w:spacing w:before="0" w:line="240" w:lineRule="auto"/>
              <w:ind w:firstLine="0"/>
              <w:jc w:val="left"/>
              <w:rPr>
                <w:rFonts w:asciiTheme="minorHAnsi" w:eastAsiaTheme="minorHAnsi" w:hAnsiTheme="minorHAnsi" w:cstheme="minorHAnsi"/>
                <w:b/>
                <w:i/>
                <w:sz w:val="22"/>
                <w:szCs w:val="22"/>
                <w:lang w:eastAsia="en-US"/>
              </w:rPr>
            </w:pPr>
          </w:p>
          <w:p w14:paraId="614F0D29" w14:textId="6F6C8807" w:rsidR="0075728B" w:rsidRPr="002063BF" w:rsidRDefault="0075728B" w:rsidP="0042202B">
            <w:pPr>
              <w:pStyle w:val="ARTartustawynprozporzdzenia"/>
              <w:spacing w:before="0" w:line="240" w:lineRule="auto"/>
              <w:ind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2063BF">
              <w:rPr>
                <w:rFonts w:asciiTheme="minorHAnsi" w:eastAsiaTheme="minorHAnsi" w:hAnsiTheme="minorHAnsi" w:cstheme="minorHAnsi"/>
                <w:b/>
                <w:i/>
                <w:sz w:val="22"/>
                <w:szCs w:val="22"/>
                <w:lang w:eastAsia="en-US"/>
              </w:rPr>
              <w:t>Art. 3. W ustawie z dnia 29 sierpnia 1997 r. – Ordynacja podatkowa (Dz. U. z 2025 r. poz. 111, z późn. zm.) w art. 297 w § 1 po pkt 12 dodaje się pkt 13 w brzmieniu:</w:t>
            </w:r>
          </w:p>
          <w:p w14:paraId="5E391B94" w14:textId="2792159F" w:rsidR="0075728B" w:rsidRPr="00D2218F" w:rsidRDefault="0075728B" w:rsidP="0042202B">
            <w:pPr>
              <w:pStyle w:val="ARTartustawynprozporzdzenia"/>
              <w:spacing w:before="0" w:line="240" w:lineRule="auto"/>
              <w:ind w:firstLine="0"/>
              <w:jc w:val="left"/>
              <w:rPr>
                <w:rStyle w:val="Teksttreci20"/>
                <w:rFonts w:asciiTheme="minorHAnsi" w:eastAsiaTheme="minorEastAsia" w:hAnsiTheme="minorHAnsi" w:cstheme="minorHAnsi"/>
                <w:b/>
                <w:color w:val="auto"/>
                <w:sz w:val="22"/>
                <w:szCs w:val="22"/>
                <w:u w:val="none"/>
                <w:lang w:eastAsia="en-US" w:bidi="ar-SA"/>
              </w:rPr>
            </w:pPr>
            <w:r w:rsidRPr="002063BF">
              <w:rPr>
                <w:rFonts w:asciiTheme="minorHAnsi" w:eastAsiaTheme="minorHAnsi" w:hAnsiTheme="minorHAnsi" w:cstheme="minorHAnsi"/>
                <w:b/>
                <w:i/>
                <w:sz w:val="22"/>
                <w:szCs w:val="22"/>
                <w:lang w:eastAsia="en-US"/>
              </w:rPr>
              <w:t xml:space="preserve">„13) Dyrektorowi TDT </w:t>
            </w:r>
            <w:r>
              <w:rPr>
                <w:rFonts w:asciiTheme="minorHAnsi" w:eastAsiaTheme="minorHAnsi" w:hAnsiTheme="minorHAnsi" w:cstheme="minorHAnsi"/>
                <w:b/>
                <w:i/>
                <w:sz w:val="22"/>
                <w:szCs w:val="22"/>
                <w:lang w:eastAsia="en-US"/>
              </w:rPr>
              <w:t>–</w:t>
            </w:r>
            <w:r w:rsidRPr="002063BF">
              <w:rPr>
                <w:rFonts w:asciiTheme="minorHAnsi" w:eastAsiaTheme="minorHAnsi" w:hAnsiTheme="minorHAnsi" w:cstheme="minorHAnsi"/>
                <w:b/>
                <w:i/>
                <w:sz w:val="22"/>
                <w:szCs w:val="22"/>
                <w:lang w:eastAsia="en-US"/>
              </w:rPr>
              <w:t xml:space="preserve"> w zakresie i na zasadach określonych w ustawie z dnia 14 kwietnia 2023 r. o systemach homologacji pojazdów oraz ich wyposażenia.”</w:t>
            </w:r>
            <w:r>
              <w:rPr>
                <w:rFonts w:asciiTheme="minorHAnsi" w:eastAsiaTheme="minorHAnsi" w:hAnsiTheme="minorHAnsi" w:cstheme="minorHAnsi"/>
                <w:b/>
                <w:i/>
                <w:sz w:val="22"/>
                <w:szCs w:val="22"/>
                <w:lang w:eastAsia="en-US"/>
              </w:rPr>
              <w:t xml:space="preserve"> – </w:t>
            </w:r>
            <w:r w:rsidRPr="002063BF">
              <w:rPr>
                <w:rFonts w:asciiTheme="minorHAnsi" w:eastAsiaTheme="minorHAnsi" w:hAnsiTheme="minorHAnsi" w:cstheme="minorHAnsi"/>
                <w:b/>
                <w:sz w:val="22"/>
                <w:szCs w:val="22"/>
                <w:lang w:eastAsia="en-US"/>
              </w:rPr>
              <w:t xml:space="preserve">zmiana dotyczy </w:t>
            </w:r>
            <w:r w:rsidRPr="002063BF">
              <w:rPr>
                <w:rFonts w:asciiTheme="minorHAnsi" w:hAnsiTheme="minorHAnsi" w:cstheme="minorHAnsi"/>
                <w:b/>
                <w:sz w:val="22"/>
                <w:szCs w:val="22"/>
                <w:lang w:eastAsia="en-US"/>
              </w:rPr>
              <w:t>rozszerzenia podmiotów, którym naczelnicy urzędów skarbowych i naczelnicy urzędów celno-skarbowych udostępniają akta. Rozszerzenie to dotyczy dodania do ww. podmiotów – Dyrektora TDT.</w:t>
            </w:r>
          </w:p>
        </w:tc>
        <w:tc>
          <w:tcPr>
            <w:tcW w:w="3686" w:type="dxa"/>
          </w:tcPr>
          <w:p w14:paraId="0E0AD716" w14:textId="77777777" w:rsidR="00D76FE7" w:rsidRPr="00D76FE7" w:rsidRDefault="00D76FE7" w:rsidP="0042202B">
            <w:pPr>
              <w:rPr>
                <w:rFonts w:cstheme="minorHAnsi"/>
                <w:b/>
              </w:rPr>
            </w:pPr>
            <w:r w:rsidRPr="00D76FE7">
              <w:rPr>
                <w:rFonts w:cstheme="minorHAnsi"/>
                <w:b/>
              </w:rPr>
              <w:t>Zaproponowany przepis należy zmienić poprzez wskazanie:</w:t>
            </w:r>
          </w:p>
          <w:p w14:paraId="50EA31EB" w14:textId="77777777" w:rsidR="00D76FE7" w:rsidRPr="00D76FE7" w:rsidRDefault="00D76FE7" w:rsidP="0042202B">
            <w:pPr>
              <w:rPr>
                <w:rFonts w:cstheme="minorHAnsi"/>
                <w:b/>
              </w:rPr>
            </w:pPr>
            <w:r w:rsidRPr="00D76FE7">
              <w:rPr>
                <w:rFonts w:cstheme="minorHAnsi"/>
                <w:b/>
              </w:rPr>
              <w:t>1. w art. 68s pkt – odwołania do art. 68zl (aby nie było wątpliwości jakie konkretnie informacje objęte tajemnicą celną będą udostępniane organowi nadzoru rynku) – propozycja zapisu:</w:t>
            </w:r>
          </w:p>
          <w:p w14:paraId="4389F6C9" w14:textId="77777777"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i/>
                <w:sz w:val="22"/>
                <w:szCs w:val="22"/>
                <w:u w:val="none"/>
              </w:rPr>
            </w:pPr>
            <w:r w:rsidRPr="00D76FE7">
              <w:rPr>
                <w:rStyle w:val="Teksttreci20"/>
                <w:rFonts w:asciiTheme="minorHAnsi" w:eastAsiaTheme="minorHAnsi" w:hAnsiTheme="minorHAnsi" w:cstheme="minorHAnsi"/>
                <w:b/>
                <w:bCs w:val="0"/>
                <w:i/>
                <w:sz w:val="22"/>
                <w:szCs w:val="22"/>
                <w:u w:val="none"/>
              </w:rPr>
              <w:t>„Art. 68s. 1 pkt 18) nieodpłatnego uzyskiwania od organów Krajowej Administracji Skarbowej, w zakresie ich właściwości, danych wymienionych w art. 68zl ust. 2 niniejszej ustawy dotyczących podmiotów wprowadzających do obrotu pojazdy, przedmioty wyposażenia lub części, które to dane są objęte tajemnicą celną zgodnie z art. 95b ustawy z dnia 19 marca 2004 r. — Prawo celne;”</w:t>
            </w:r>
          </w:p>
          <w:p w14:paraId="1ECD64DF" w14:textId="77777777"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i/>
                <w:sz w:val="22"/>
                <w:szCs w:val="22"/>
                <w:u w:val="none"/>
              </w:rPr>
            </w:pPr>
          </w:p>
          <w:p w14:paraId="48A38F69" w14:textId="2860F178"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iCs/>
                <w:sz w:val="22"/>
                <w:szCs w:val="22"/>
                <w:u w:val="none"/>
              </w:rPr>
            </w:pPr>
            <w:r w:rsidRPr="00D76FE7">
              <w:rPr>
                <w:rStyle w:val="Teksttreci20"/>
                <w:rFonts w:asciiTheme="minorHAnsi" w:eastAsiaTheme="minorHAnsi" w:hAnsiTheme="minorHAnsi" w:cstheme="minorHAnsi"/>
                <w:b/>
                <w:bCs w:val="0"/>
                <w:iCs/>
                <w:sz w:val="22"/>
                <w:szCs w:val="22"/>
                <w:u w:val="none"/>
              </w:rPr>
              <w:t>2. W zaproponowanym brzmieniu art. 68zl ust. 2 znalazły się dane, które nie są zawarte w zgłoszeniach celnych i którymi organy KAS po prostu nie dysponują. Przykładem są dane dotyczące identyfikacji podmiotu gospodarczego zawierające m.in. imię i nazwisko albo nazwę oraz adres zamieszkania albo siedziby, albo formę prawną tego podmiotu gospodarczego, możliwe będzie przekazanie jedynie numeru EORI, w konsekwencji Dyrektor DTD w ogólnodostępnej unijnej bazie weryfikować będzie mógł dane podmiotu, kraj pochodzenia producenta pojazdu" — w zgłoszeniu celnym widnieje kraj pochodzenia towaru oraz kraj wysyłki, natomiast dane dotyczące producenta jako takiego nie są elementem deklaracji celnej i KAS nie ma możliwości ich przekazania. Podobnie dane dotyczące wykrytych niezgodności czy częstotliwości składania zgłoszeń przez poszczególne podmioty — są to informacje, które Dyrektor TDT będzie mógł samodzielnie wypracować na podstawie danych kwartalnie przekazywanych przez Szefa KAS, agregując je i analizując we własnym zakresie. Obowiązkiem Szefa KAS jest przekazanie ściśle określonych danych ze zgłoszeń celnych — natomiast ich dalsza analiza, typowanie podmiotów do kontroli czy wykrywanie nieprawidłowości leży już w kompetencji organu nadzoru rynku i stanowi istotę jego zadań. Nakładanie na Szefa KAS obowiązku dostarczania gotowych analiz wykracza poza jego rolę i kompetencje. Z tych względów proponuje się ograniczenie katalogu danych przekazywanych przez Szefa KAS wyłącznie do informacji faktycznie dostępnych w zgłoszeniach celnych, z jednoczesnym zastrzeżeniem że dalsze przetwarzanie i analiza tych danych należy do Dyrektora TDT; propozycja zapisu:</w:t>
            </w:r>
          </w:p>
          <w:p w14:paraId="45C1852A" w14:textId="77777777"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iCs/>
                <w:sz w:val="22"/>
                <w:szCs w:val="22"/>
                <w:u w:val="none"/>
              </w:rPr>
            </w:pPr>
          </w:p>
          <w:p w14:paraId="2C1E63D1" w14:textId="77777777" w:rsidR="00D76FE7" w:rsidRPr="00D76FE7" w:rsidRDefault="00D76FE7" w:rsidP="0042202B">
            <w:pPr>
              <w:pStyle w:val="Default"/>
              <w:rPr>
                <w:rStyle w:val="Teksttreci20"/>
                <w:rFonts w:asciiTheme="minorHAnsi" w:eastAsiaTheme="minorHAnsi" w:hAnsiTheme="minorHAnsi" w:cstheme="minorHAnsi"/>
                <w:b/>
                <w:i/>
                <w:color w:val="auto"/>
                <w:sz w:val="22"/>
                <w:szCs w:val="22"/>
                <w:u w:val="none"/>
              </w:rPr>
            </w:pPr>
            <w:r w:rsidRPr="00D76FE7">
              <w:rPr>
                <w:rStyle w:val="Teksttreci20"/>
                <w:rFonts w:asciiTheme="minorHAnsi" w:eastAsiaTheme="minorHAnsi" w:hAnsiTheme="minorHAnsi" w:cstheme="minorHAnsi"/>
                <w:b/>
                <w:i/>
                <w:color w:val="auto"/>
                <w:sz w:val="22"/>
                <w:szCs w:val="22"/>
                <w:u w:val="none"/>
              </w:rPr>
              <w:t>„Art. 68zl. 1. Szef Krajowej Administracji Skarbowej sporządza i przedkłada Dyrektorowi TDT jako organowi nadzoru rynku, w terminie do 15 dnia miesiąca następującego po upływie każdego kwartału, informację o podmiotach gospodarczych wprowadzających do obrotu pojazdy, przedmioty wyposażenia oraz części, o których mowa w art. 3 ust. 3 ustawy.</w:t>
            </w:r>
          </w:p>
          <w:p w14:paraId="24E80E50" w14:textId="77777777" w:rsidR="00D76FE7" w:rsidRPr="00D76FE7" w:rsidRDefault="00D76FE7" w:rsidP="0042202B">
            <w:pPr>
              <w:pStyle w:val="Default"/>
              <w:rPr>
                <w:rStyle w:val="Teksttreci20"/>
                <w:rFonts w:asciiTheme="minorHAnsi" w:eastAsiaTheme="minorHAnsi" w:hAnsiTheme="minorHAnsi" w:cstheme="minorHAnsi"/>
                <w:b/>
                <w:i/>
                <w:color w:val="auto"/>
                <w:sz w:val="22"/>
                <w:szCs w:val="22"/>
                <w:u w:val="none"/>
              </w:rPr>
            </w:pPr>
            <w:r w:rsidRPr="00D76FE7">
              <w:rPr>
                <w:rStyle w:val="Teksttreci20"/>
                <w:rFonts w:asciiTheme="minorHAnsi" w:eastAsiaTheme="minorHAnsi" w:hAnsiTheme="minorHAnsi" w:cstheme="minorHAnsi"/>
                <w:b/>
                <w:i/>
                <w:color w:val="auto"/>
                <w:sz w:val="22"/>
                <w:szCs w:val="22"/>
                <w:u w:val="none"/>
              </w:rPr>
              <w:t>2. Informacja, o której mowa w ust. 1, zawiera:</w:t>
            </w:r>
          </w:p>
          <w:p w14:paraId="7579CE2E" w14:textId="77777777" w:rsidR="00D76FE7" w:rsidRPr="00D76FE7" w:rsidRDefault="00D76FE7" w:rsidP="0042202B">
            <w:pPr>
              <w:pStyle w:val="Default"/>
              <w:numPr>
                <w:ilvl w:val="0"/>
                <w:numId w:val="25"/>
              </w:numPr>
              <w:ind w:left="1020" w:hanging="510"/>
              <w:rPr>
                <w:rStyle w:val="Teksttreci20"/>
                <w:rFonts w:asciiTheme="minorHAnsi" w:eastAsiaTheme="minorHAnsi" w:hAnsiTheme="minorHAnsi" w:cstheme="minorHAnsi"/>
                <w:b/>
                <w:i/>
                <w:color w:val="auto"/>
                <w:sz w:val="22"/>
                <w:szCs w:val="22"/>
                <w:u w:val="none"/>
              </w:rPr>
            </w:pPr>
            <w:r w:rsidRPr="00D76FE7">
              <w:rPr>
                <w:rStyle w:val="Teksttreci20"/>
                <w:rFonts w:asciiTheme="minorHAnsi" w:eastAsiaTheme="minorHAnsi" w:hAnsiTheme="minorHAnsi" w:cstheme="minorHAnsi"/>
                <w:b/>
                <w:i/>
                <w:color w:val="auto"/>
                <w:sz w:val="22"/>
                <w:szCs w:val="22"/>
                <w:u w:val="none"/>
              </w:rPr>
              <w:t>numer EORI importera;</w:t>
            </w:r>
          </w:p>
          <w:p w14:paraId="5CE7A09D" w14:textId="77777777" w:rsidR="00D76FE7" w:rsidRPr="00D76FE7" w:rsidRDefault="00D76FE7" w:rsidP="0042202B">
            <w:pPr>
              <w:pStyle w:val="Default"/>
              <w:numPr>
                <w:ilvl w:val="0"/>
                <w:numId w:val="25"/>
              </w:numPr>
              <w:ind w:left="1020" w:hanging="510"/>
              <w:rPr>
                <w:rFonts w:asciiTheme="minorHAnsi" w:eastAsiaTheme="minorHAnsi" w:hAnsiTheme="minorHAnsi" w:cstheme="minorHAnsi"/>
                <w:b/>
                <w:i/>
                <w:color w:val="auto"/>
                <w:sz w:val="22"/>
                <w:szCs w:val="22"/>
                <w:lang w:bidi="pl-PL"/>
              </w:rPr>
            </w:pPr>
            <w:r w:rsidRPr="00D76FE7">
              <w:rPr>
                <w:rFonts w:asciiTheme="minorHAnsi" w:eastAsiaTheme="minorHAnsi" w:hAnsiTheme="minorHAnsi" w:cstheme="minorHAnsi"/>
                <w:b/>
                <w:i/>
                <w:color w:val="auto"/>
                <w:sz w:val="22"/>
                <w:szCs w:val="22"/>
                <w:lang w:bidi="pl-PL"/>
              </w:rPr>
              <w:t>kod CN towaru, oraz jego ilość</w:t>
            </w:r>
          </w:p>
          <w:p w14:paraId="3D098213" w14:textId="77777777" w:rsidR="00D76FE7" w:rsidRPr="00D76FE7" w:rsidRDefault="00D76FE7" w:rsidP="0042202B">
            <w:pPr>
              <w:pStyle w:val="Default"/>
              <w:numPr>
                <w:ilvl w:val="0"/>
                <w:numId w:val="25"/>
              </w:numPr>
              <w:ind w:left="1020" w:hanging="510"/>
              <w:rPr>
                <w:rFonts w:asciiTheme="minorHAnsi" w:eastAsiaTheme="minorHAnsi" w:hAnsiTheme="minorHAnsi" w:cstheme="minorHAnsi"/>
                <w:b/>
                <w:sz w:val="22"/>
                <w:szCs w:val="22"/>
              </w:rPr>
            </w:pPr>
            <w:r w:rsidRPr="00D76FE7">
              <w:rPr>
                <w:rFonts w:asciiTheme="minorHAnsi" w:eastAsiaTheme="minorHAnsi" w:hAnsiTheme="minorHAnsi" w:cstheme="minorHAnsi"/>
                <w:b/>
                <w:i/>
                <w:color w:val="auto"/>
                <w:sz w:val="22"/>
                <w:szCs w:val="22"/>
                <w:lang w:bidi="pl-PL"/>
              </w:rPr>
              <w:t>opis towaru</w:t>
            </w:r>
          </w:p>
          <w:p w14:paraId="30CFE0FB" w14:textId="77777777" w:rsidR="00D76FE7" w:rsidRPr="00D76FE7" w:rsidRDefault="00D76FE7" w:rsidP="0042202B">
            <w:pPr>
              <w:pStyle w:val="Default"/>
              <w:numPr>
                <w:ilvl w:val="0"/>
                <w:numId w:val="25"/>
              </w:numPr>
              <w:ind w:left="1020" w:hanging="510"/>
              <w:rPr>
                <w:rStyle w:val="Teksttreci20"/>
                <w:rFonts w:asciiTheme="minorHAnsi" w:eastAsiaTheme="minorHAnsi" w:hAnsiTheme="minorHAnsi" w:cstheme="minorHAnsi"/>
                <w:b/>
                <w:i/>
                <w:color w:val="auto"/>
                <w:sz w:val="22"/>
                <w:szCs w:val="22"/>
                <w:u w:val="none"/>
              </w:rPr>
            </w:pPr>
            <w:r w:rsidRPr="00D76FE7">
              <w:rPr>
                <w:rStyle w:val="Teksttreci20"/>
                <w:rFonts w:asciiTheme="minorHAnsi" w:eastAsiaTheme="minorHAnsi" w:hAnsiTheme="minorHAnsi" w:cstheme="minorHAnsi"/>
                <w:b/>
                <w:i/>
                <w:color w:val="auto"/>
                <w:sz w:val="22"/>
                <w:szCs w:val="22"/>
                <w:u w:val="none"/>
              </w:rPr>
              <w:t xml:space="preserve">kraj pochodzenia </w:t>
            </w:r>
            <w:r w:rsidRPr="00D76FE7">
              <w:rPr>
                <w:rFonts w:asciiTheme="minorHAnsi" w:eastAsiaTheme="minorHAnsi" w:hAnsiTheme="minorHAnsi" w:cstheme="minorHAnsi"/>
                <w:b/>
                <w:i/>
                <w:color w:val="auto"/>
                <w:sz w:val="22"/>
                <w:szCs w:val="22"/>
                <w:lang w:bidi="pl-PL"/>
              </w:rPr>
              <w:t>pojazdu, przedmiotu wyposażenia lub części</w:t>
            </w:r>
            <w:r w:rsidRPr="00D76FE7">
              <w:rPr>
                <w:rStyle w:val="Teksttreci20"/>
                <w:rFonts w:asciiTheme="minorHAnsi" w:eastAsiaTheme="minorHAnsi" w:hAnsiTheme="minorHAnsi" w:cstheme="minorHAnsi"/>
                <w:b/>
                <w:i/>
                <w:color w:val="auto"/>
                <w:sz w:val="22"/>
                <w:szCs w:val="22"/>
                <w:u w:val="none"/>
              </w:rPr>
              <w:t xml:space="preserve"> oraz kraj wysyłki, z którego są one importowane, jeżeli jest on inny niż kraj ich pochodzenia.</w:t>
            </w:r>
          </w:p>
          <w:p w14:paraId="31F6BB00" w14:textId="77777777" w:rsidR="00D76FE7" w:rsidRPr="00D76FE7" w:rsidRDefault="00D76FE7" w:rsidP="0042202B">
            <w:pPr>
              <w:pStyle w:val="Default"/>
              <w:numPr>
                <w:ilvl w:val="0"/>
                <w:numId w:val="25"/>
              </w:numPr>
              <w:ind w:left="1020" w:hanging="510"/>
              <w:rPr>
                <w:rStyle w:val="Teksttreci20"/>
                <w:rFonts w:asciiTheme="minorHAnsi" w:eastAsiaTheme="minorHAnsi" w:hAnsiTheme="minorHAnsi" w:cstheme="minorHAnsi"/>
                <w:b/>
                <w:i/>
                <w:sz w:val="22"/>
                <w:szCs w:val="22"/>
                <w:u w:val="none"/>
              </w:rPr>
            </w:pPr>
            <w:r w:rsidRPr="00D76FE7">
              <w:rPr>
                <w:rStyle w:val="Teksttreci20"/>
                <w:rFonts w:asciiTheme="minorHAnsi" w:eastAsiaTheme="minorHAnsi" w:hAnsiTheme="minorHAnsi" w:cstheme="minorHAnsi"/>
                <w:b/>
                <w:i/>
                <w:color w:val="auto"/>
                <w:sz w:val="22"/>
                <w:szCs w:val="22"/>
                <w:u w:val="none"/>
              </w:rPr>
              <w:t>wartość statystyczna pojazdu, przedmiotu wyposażenia lub części.</w:t>
            </w:r>
          </w:p>
          <w:p w14:paraId="6170C338" w14:textId="77777777" w:rsidR="00D76FE7" w:rsidRPr="00D76FE7" w:rsidRDefault="00D76FE7" w:rsidP="0042202B">
            <w:pPr>
              <w:rPr>
                <w:rStyle w:val="Teksttreci20"/>
                <w:rFonts w:asciiTheme="minorHAnsi" w:eastAsiaTheme="minorHAnsi" w:hAnsiTheme="minorHAnsi" w:cstheme="minorHAnsi"/>
                <w:b/>
                <w:i/>
                <w:sz w:val="22"/>
                <w:szCs w:val="22"/>
                <w:u w:val="none"/>
              </w:rPr>
            </w:pPr>
            <w:r w:rsidRPr="00D76FE7">
              <w:rPr>
                <w:rStyle w:val="Teksttreci20"/>
                <w:rFonts w:asciiTheme="minorHAnsi" w:eastAsiaTheme="minorHAnsi" w:hAnsiTheme="minorHAnsi" w:cstheme="minorHAnsi"/>
                <w:b/>
                <w:i/>
                <w:sz w:val="22"/>
                <w:szCs w:val="22"/>
                <w:u w:val="none"/>
              </w:rPr>
              <w:t>3. Informacje przekazywane zgodnie z ust. 1 mogą pozostawać w interfejsach elektronicznych wykorzystywanych do ich przekazywania i przetwarzania nie dłużej, niż jest to konieczne, a Dyrektor TDT jako organ nadzoru rynku zapewnia ich poufność.</w:t>
            </w:r>
          </w:p>
          <w:p w14:paraId="3DFE1B7A" w14:textId="77777777" w:rsidR="00D76FE7" w:rsidRPr="00D76FE7" w:rsidRDefault="00D76FE7" w:rsidP="0042202B">
            <w:pPr>
              <w:rPr>
                <w:rStyle w:val="Teksttreci20"/>
                <w:rFonts w:asciiTheme="minorHAnsi" w:eastAsiaTheme="minorHAnsi" w:hAnsiTheme="minorHAnsi" w:cstheme="minorHAnsi"/>
                <w:b/>
                <w:i/>
                <w:sz w:val="22"/>
                <w:szCs w:val="22"/>
                <w:u w:val="none"/>
              </w:rPr>
            </w:pPr>
            <w:r w:rsidRPr="00D76FE7">
              <w:rPr>
                <w:rStyle w:val="Teksttreci20"/>
                <w:rFonts w:asciiTheme="minorHAnsi" w:eastAsiaTheme="minorHAnsi" w:hAnsiTheme="minorHAnsi" w:cstheme="minorHAnsi"/>
                <w:b/>
                <w:i/>
                <w:sz w:val="22"/>
                <w:szCs w:val="22"/>
                <w:u w:val="none"/>
              </w:rPr>
              <w:t>4.  Dyrektor TDT jako organ nadzoru rynku wykorzystuje informację, o której mowa w ust. 1, wyłącznie na potrzeby egzekwowania postanowień  ustawy.</w:t>
            </w:r>
          </w:p>
          <w:p w14:paraId="5870F2E2" w14:textId="77777777" w:rsidR="00D76FE7" w:rsidRPr="00D76FE7" w:rsidRDefault="00D76FE7" w:rsidP="0042202B">
            <w:pPr>
              <w:rPr>
                <w:rStyle w:val="Teksttreci20"/>
                <w:rFonts w:asciiTheme="minorHAnsi" w:eastAsiaTheme="minorHAnsi" w:hAnsiTheme="minorHAnsi" w:cstheme="minorHAnsi"/>
                <w:b/>
                <w:i/>
                <w:sz w:val="22"/>
                <w:szCs w:val="22"/>
                <w:u w:val="none"/>
              </w:rPr>
            </w:pPr>
            <w:r w:rsidRPr="00D76FE7">
              <w:rPr>
                <w:rStyle w:val="Teksttreci20"/>
                <w:rFonts w:asciiTheme="minorHAnsi" w:eastAsiaTheme="minorHAnsi" w:hAnsiTheme="minorHAnsi" w:cstheme="minorHAnsi"/>
                <w:b/>
                <w:i/>
                <w:sz w:val="22"/>
                <w:szCs w:val="22"/>
                <w:u w:val="none"/>
              </w:rPr>
              <w:t>5. Minister właściwy do spraw informatyzacji sporządza na podstawie danych zawartych w ewidencji i przedkłada Dyrektorowi TDT jako organowi nadzoru rynku, w terminie do 15 dnia drugiego miesiąca następującego po upływie każdego kwartału, informację o nowo zarejestrowanych pojazdach.</w:t>
            </w:r>
          </w:p>
          <w:p w14:paraId="0022A099" w14:textId="77777777" w:rsidR="00D76FE7" w:rsidRPr="00D76FE7" w:rsidRDefault="00D76FE7" w:rsidP="0042202B">
            <w:pPr>
              <w:pStyle w:val="Default"/>
              <w:rPr>
                <w:rStyle w:val="Teksttreci20"/>
                <w:rFonts w:asciiTheme="minorHAnsi" w:eastAsiaTheme="minorHAnsi" w:hAnsiTheme="minorHAnsi" w:cstheme="minorHAnsi"/>
                <w:b/>
                <w:i/>
                <w:color w:val="auto"/>
                <w:sz w:val="22"/>
                <w:szCs w:val="22"/>
                <w:u w:val="none"/>
              </w:rPr>
            </w:pPr>
            <w:r w:rsidRPr="00D76FE7">
              <w:rPr>
                <w:rStyle w:val="Teksttreci20"/>
                <w:rFonts w:asciiTheme="minorHAnsi" w:eastAsiaTheme="minorHAnsi" w:hAnsiTheme="minorHAnsi" w:cstheme="minorHAnsi"/>
                <w:b/>
                <w:i/>
                <w:color w:val="auto"/>
                <w:sz w:val="22"/>
                <w:szCs w:val="22"/>
                <w:u w:val="none"/>
              </w:rPr>
              <w:t>6. Informacja, o której mowa w ust. 5, zawiera zestawienie zarejestrowanych pojazdów w danym kwartale obejmującym rodzaj pojazdu, kategorię, producenta, markę, model, numer świadectwa homologacji typu oraz datę rejestracji.”</w:t>
            </w:r>
          </w:p>
          <w:p w14:paraId="4B77AE8D" w14:textId="77777777" w:rsidR="00D76FE7" w:rsidRPr="00D76FE7" w:rsidRDefault="00D76FE7" w:rsidP="0042202B">
            <w:pPr>
              <w:pStyle w:val="ARTartustawynprozporzdzenia"/>
              <w:spacing w:before="0" w:line="240" w:lineRule="auto"/>
              <w:ind w:firstLine="0"/>
              <w:jc w:val="left"/>
              <w:rPr>
                <w:rFonts w:asciiTheme="minorHAnsi" w:eastAsiaTheme="minorHAnsi" w:hAnsiTheme="minorHAnsi" w:cstheme="minorHAnsi"/>
                <w:b/>
                <w:i/>
                <w:sz w:val="22"/>
                <w:szCs w:val="22"/>
                <w:lang w:eastAsia="en-US"/>
              </w:rPr>
            </w:pPr>
          </w:p>
          <w:p w14:paraId="49702E11" w14:textId="77777777"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sz w:val="22"/>
                <w:szCs w:val="22"/>
                <w:u w:val="none"/>
              </w:rPr>
            </w:pPr>
            <w:r w:rsidRPr="00D76FE7">
              <w:rPr>
                <w:rStyle w:val="Teksttreci20"/>
                <w:rFonts w:asciiTheme="minorHAnsi" w:eastAsiaTheme="minorHAnsi" w:hAnsiTheme="minorHAnsi" w:cstheme="minorHAnsi"/>
                <w:b/>
                <w:bCs w:val="0"/>
                <w:sz w:val="22"/>
                <w:szCs w:val="22"/>
                <w:u w:val="none"/>
              </w:rPr>
              <w:t>3. Ordynacja podatkowa – propozycja wykreślenia przepisu.</w:t>
            </w:r>
          </w:p>
          <w:p w14:paraId="6FA4180B" w14:textId="77777777" w:rsidR="00D76FE7" w:rsidRPr="00D76FE7" w:rsidRDefault="00D76FE7" w:rsidP="0042202B">
            <w:pPr>
              <w:pStyle w:val="ARTartustawynprozporzdzenia"/>
              <w:spacing w:before="0" w:line="240" w:lineRule="auto"/>
              <w:ind w:firstLine="0"/>
              <w:jc w:val="left"/>
              <w:rPr>
                <w:rFonts w:asciiTheme="minorHAnsi" w:eastAsiaTheme="minorHAnsi" w:hAnsiTheme="minorHAnsi" w:cstheme="minorHAnsi"/>
                <w:b/>
                <w:i/>
                <w:strike/>
                <w:sz w:val="22"/>
                <w:szCs w:val="22"/>
                <w:lang w:eastAsia="en-US"/>
              </w:rPr>
            </w:pPr>
            <w:r w:rsidRPr="00D76FE7">
              <w:rPr>
                <w:rFonts w:asciiTheme="minorHAnsi" w:eastAsiaTheme="minorHAnsi" w:hAnsiTheme="minorHAnsi" w:cstheme="minorHAnsi"/>
                <w:b/>
                <w:i/>
                <w:strike/>
                <w:sz w:val="22"/>
                <w:szCs w:val="22"/>
                <w:lang w:eastAsia="en-US"/>
              </w:rPr>
              <w:t>„Art. 3. W ustawie z dnia 29 sierpnia 1997 r. – Ordynacja podatkowa (Dz. U. z 2025 r. poz. 111, z późn. zm.) w art. 297 w § 1 po pkt 12 dodaje się pkt 13 w brzmieniu:</w:t>
            </w:r>
          </w:p>
          <w:p w14:paraId="053B3DFC" w14:textId="5F809A79"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iCs/>
                <w:sz w:val="22"/>
                <w:szCs w:val="22"/>
                <w:u w:val="none"/>
              </w:rPr>
            </w:pPr>
            <w:r w:rsidRPr="00D76FE7">
              <w:rPr>
                <w:rFonts w:asciiTheme="minorHAnsi" w:eastAsiaTheme="minorHAnsi" w:hAnsiTheme="minorHAnsi" w:cstheme="minorHAnsi"/>
                <w:b/>
                <w:bCs w:val="0"/>
                <w:i/>
                <w:strike/>
                <w:sz w:val="22"/>
                <w:szCs w:val="22"/>
                <w:lang w:eastAsia="en-US"/>
              </w:rPr>
              <w:t>„13) Dyrektorowi TDT – w zakresie i na zasadach określonych w ustawie z dnia 14 kwietnia 2023 r. o systemach homologacji pojazdów oraz ich wyposażenia.”</w:t>
            </w:r>
            <w:r w:rsidRPr="00D76FE7">
              <w:rPr>
                <w:rFonts w:asciiTheme="minorHAnsi" w:eastAsiaTheme="minorHAnsi" w:hAnsiTheme="minorHAnsi" w:cstheme="minorHAnsi"/>
                <w:b/>
                <w:bCs w:val="0"/>
                <w:i/>
                <w:sz w:val="22"/>
                <w:szCs w:val="22"/>
                <w:lang w:eastAsia="en-US"/>
              </w:rPr>
              <w:t xml:space="preserve"> – </w:t>
            </w:r>
            <w:r w:rsidRPr="00D76FE7">
              <w:rPr>
                <w:rFonts w:asciiTheme="minorHAnsi" w:hAnsiTheme="minorHAnsi" w:cstheme="minorHAnsi"/>
                <w:b/>
                <w:bCs w:val="0"/>
                <w:sz w:val="22"/>
                <w:szCs w:val="22"/>
              </w:rPr>
              <w:t xml:space="preserve"> </w:t>
            </w:r>
            <w:r w:rsidRPr="00D76FE7">
              <w:rPr>
                <w:rStyle w:val="Teksttreci20"/>
                <w:rFonts w:asciiTheme="minorHAnsi" w:eastAsiaTheme="minorHAnsi" w:hAnsiTheme="minorHAnsi" w:cstheme="minorHAnsi"/>
                <w:b/>
                <w:bCs w:val="0"/>
                <w:iCs/>
                <w:sz w:val="22"/>
                <w:szCs w:val="22"/>
                <w:u w:val="none"/>
              </w:rPr>
              <w:t>Propozycja wykreślenia projektowanej zmiany art. 297 § 1 Ordynacji podatkowej. Tajemnica skarbowa stanowi jeden z fundamentalnych instrumentów ochrony danych i podlega ścisłej reglamentacji prawnej — dostęp do informacji nią objętych jest wyjątkiem od ogólnej zasady i może być przyznany wyłącznie na podstawie wyraźnego przepisu ustawy, który musi jednoznacznie określić zakres udostępnianych danych (enumeratywne ich wskazanie)  oraz warunki i tryb ich przekazania. Projektowany przepis tych wymogów nie spełnia — wskazuje jedynie podmiot uprawniony do dostępu, nie precyzując natomiast katalogu danych objętych tajemnicą skarbową, do których Dyrektor TDT miałby uzyskać dostęp. Tak ogólne sformułowanie jest niewystarczające z punktu widzenia zasady proporcjonalności oraz wymogów dotyczących wyjątków od tajemnicy skarbowej. Jednocześnie należy zauważyć że dane niezbędne Dyrektorowi TDT jako organowi nadzoru rynku do wykonywania jego zadań są danymi objętymi tajemnicą celną, a nie skarbową — ich katalog został enumeratywnie wskazany w art. 68zl ust. 2 projektowanej ustawy, a podstawa prawna ich udostępnienia wynika z art. 95b ustawy Prawo celne. Zmiana Ordynacji podatkowej jest zatem zbędna dla realizacji celów projektowanej regulacji.</w:t>
            </w:r>
          </w:p>
          <w:p w14:paraId="4CC593E2" w14:textId="77777777" w:rsidR="00D76FE7" w:rsidRPr="00D76FE7" w:rsidRDefault="00D76FE7" w:rsidP="0042202B">
            <w:pPr>
              <w:pStyle w:val="ZPKTzmpktartykuempunktem"/>
              <w:spacing w:line="240" w:lineRule="auto"/>
              <w:ind w:left="0" w:firstLine="29"/>
              <w:jc w:val="left"/>
              <w:rPr>
                <w:rFonts w:asciiTheme="minorHAnsi" w:eastAsiaTheme="minorHAnsi" w:hAnsiTheme="minorHAnsi" w:cstheme="minorHAnsi"/>
                <w:b/>
                <w:bCs w:val="0"/>
                <w:iCs/>
                <w:color w:val="000000"/>
                <w:sz w:val="22"/>
                <w:szCs w:val="22"/>
                <w:lang w:bidi="pl-PL"/>
              </w:rPr>
            </w:pPr>
            <w:r w:rsidRPr="00D76FE7">
              <w:rPr>
                <w:rStyle w:val="Teksttreci20"/>
                <w:rFonts w:asciiTheme="minorHAnsi" w:eastAsiaTheme="minorHAnsi" w:hAnsiTheme="minorHAnsi" w:cstheme="minorHAnsi"/>
                <w:b/>
                <w:bCs w:val="0"/>
                <w:iCs/>
                <w:sz w:val="22"/>
                <w:szCs w:val="22"/>
                <w:u w:val="none"/>
              </w:rPr>
              <w:t xml:space="preserve">Jeżeli resort wiodący podtrzyma stanowisko o konieczności dostępu Dyrektora TDT do danych objętych tajemnicą skarbową, niezbędne będzie enumeratywne wskazanie w projektowanej ustawie każdej kategorii takich danych wraz z określeniem warunków i trybu ich udostępnienia. Każda kategoria danych objętych tajemnicą skarbową, do których Dyrektor TDT miałby uzyskać dostęp, wymagać będzie odrębnego i szczegółowego uzasadnienia wskazującego konkretną potrzebę funkcjonalną organu nadzoru rynku — nie wystarczy ogólne powołanie się na wykonywanie zadań ustawowych. Ustawodawca będzie musiał wykazać w odniesieniu do każdej pojedynczej kategorii danych, że jej udostępnienie jest niezbędne, proporcjonalne do celu oraz że celu tego nie można osiągnąć przy wykorzystaniu danych nieobjętych tajemnicą skarbową, w szczególności danych objętych tajemnicą celną, których katalog został już enumeratywnie określony w art. 68zl ust. 2 projektowanej ustawy. </w:t>
            </w:r>
            <w:r w:rsidRPr="00D76FE7">
              <w:rPr>
                <w:rFonts w:asciiTheme="minorHAnsi" w:eastAsiaTheme="minorHAnsi" w:hAnsiTheme="minorHAnsi" w:cstheme="minorHAnsi"/>
                <w:b/>
                <w:bCs w:val="0"/>
                <w:iCs/>
                <w:color w:val="000000"/>
                <w:sz w:val="22"/>
                <w:szCs w:val="22"/>
                <w:lang w:bidi="pl-PL"/>
              </w:rPr>
              <w:t>Bez spełnienia tych warunków projektowana zmiana Ordynacji podatkowej nie mogłaby zostać uznana za zgodną z obowiązującymi standardami legislacyjnymi.</w:t>
            </w:r>
          </w:p>
          <w:p w14:paraId="52C72CCD" w14:textId="77777777" w:rsidR="00D76FE7" w:rsidRPr="00D76FE7" w:rsidRDefault="00D76FE7" w:rsidP="0042202B">
            <w:pPr>
              <w:pStyle w:val="ZPKTzmpktartykuempunktem"/>
              <w:spacing w:line="240" w:lineRule="auto"/>
              <w:ind w:left="0" w:firstLine="29"/>
              <w:jc w:val="left"/>
              <w:rPr>
                <w:rFonts w:asciiTheme="minorHAnsi" w:eastAsiaTheme="minorHAnsi" w:hAnsiTheme="minorHAnsi" w:cstheme="minorHAnsi"/>
                <w:b/>
                <w:bCs w:val="0"/>
                <w:iCs/>
                <w:color w:val="000000"/>
                <w:sz w:val="22"/>
                <w:szCs w:val="22"/>
                <w:lang w:bidi="pl-PL"/>
              </w:rPr>
            </w:pPr>
          </w:p>
          <w:p w14:paraId="3E0E9D4C" w14:textId="330613D2" w:rsidR="00D76FE7" w:rsidRPr="00D76FE7" w:rsidRDefault="00D76FE7" w:rsidP="0042202B">
            <w:pPr>
              <w:pStyle w:val="ZPKTzmpktartykuempunktem"/>
              <w:spacing w:line="240" w:lineRule="auto"/>
              <w:ind w:left="0" w:firstLine="29"/>
              <w:jc w:val="left"/>
              <w:rPr>
                <w:rStyle w:val="Teksttreci20"/>
                <w:rFonts w:asciiTheme="minorHAnsi" w:eastAsiaTheme="minorHAnsi" w:hAnsiTheme="minorHAnsi" w:cstheme="minorHAnsi"/>
                <w:b/>
                <w:bCs w:val="0"/>
                <w:iCs/>
                <w:sz w:val="22"/>
                <w:szCs w:val="22"/>
                <w:u w:val="none"/>
              </w:rPr>
            </w:pPr>
            <w:r w:rsidRPr="00D76FE7">
              <w:rPr>
                <w:rFonts w:asciiTheme="minorHAnsi" w:hAnsiTheme="minorHAnsi" w:cstheme="minorHAnsi"/>
                <w:b/>
                <w:bCs w:val="0"/>
                <w:sz w:val="22"/>
                <w:szCs w:val="22"/>
              </w:rPr>
              <w:t>Dodatkowo w OSR ww. projektu ustawy w pkt 4 OSR – Podmioty na które oddziałuje projekt, w kolumnie drugiej dotyczącej KAS, błędnie wpisano informacje dotyczące liczby oddziałów celnych (jest 134 powinno być 133).</w:t>
            </w:r>
          </w:p>
          <w:p w14:paraId="25634751" w14:textId="77777777" w:rsidR="0075728B" w:rsidRDefault="0075728B" w:rsidP="0042202B">
            <w:pPr>
              <w:pStyle w:val="ZLITUSTzmustliter"/>
              <w:spacing w:line="240" w:lineRule="auto"/>
              <w:ind w:left="0" w:firstLine="0"/>
              <w:jc w:val="left"/>
              <w:rPr>
                <w:rStyle w:val="Teksttreci20"/>
                <w:rFonts w:asciiTheme="minorHAnsi" w:eastAsiaTheme="minorHAnsi" w:hAnsiTheme="minorHAnsi" w:cstheme="minorHAnsi"/>
                <w:b/>
                <w:bCs w:val="0"/>
                <w:color w:val="auto"/>
                <w:sz w:val="22"/>
                <w:szCs w:val="22"/>
                <w:u w:val="none"/>
              </w:rPr>
            </w:pPr>
          </w:p>
          <w:p w14:paraId="6359230B" w14:textId="06DB1ECC" w:rsidR="00F96EBD" w:rsidRDefault="00F96EBD" w:rsidP="0042202B">
            <w:pPr>
              <w:pStyle w:val="ZLITUSTzmustliter"/>
              <w:spacing w:line="240" w:lineRule="auto"/>
              <w:ind w:left="0" w:firstLine="0"/>
              <w:jc w:val="left"/>
              <w:rPr>
                <w:rStyle w:val="Teksttreci20"/>
                <w:rFonts w:asciiTheme="minorHAnsi" w:eastAsiaTheme="minorHAnsi" w:hAnsiTheme="minorHAnsi" w:cstheme="minorHAnsi"/>
                <w:b/>
                <w:bCs w:val="0"/>
                <w:color w:val="0070C0"/>
                <w:sz w:val="22"/>
                <w:szCs w:val="22"/>
                <w:u w:val="none"/>
              </w:rPr>
            </w:pPr>
            <w:r w:rsidRPr="00F96EBD">
              <w:rPr>
                <w:rStyle w:val="Teksttreci20"/>
                <w:rFonts w:asciiTheme="minorHAnsi" w:eastAsiaTheme="minorHAnsi" w:hAnsiTheme="minorHAnsi" w:cstheme="minorHAnsi"/>
                <w:b/>
                <w:bCs w:val="0"/>
                <w:color w:val="0070C0"/>
                <w:sz w:val="22"/>
                <w:szCs w:val="22"/>
                <w:u w:val="none"/>
              </w:rPr>
              <w:t>Wypracowan</w:t>
            </w:r>
            <w:r w:rsidR="002B1220">
              <w:rPr>
                <w:rStyle w:val="Teksttreci20"/>
                <w:rFonts w:asciiTheme="minorHAnsi" w:eastAsiaTheme="minorHAnsi" w:hAnsiTheme="minorHAnsi" w:cstheme="minorHAnsi"/>
                <w:b/>
                <w:bCs w:val="0"/>
                <w:color w:val="0070C0"/>
                <w:sz w:val="22"/>
                <w:szCs w:val="22"/>
                <w:u w:val="none"/>
              </w:rPr>
              <w:t>o</w:t>
            </w:r>
            <w:r w:rsidRPr="00F96EBD">
              <w:rPr>
                <w:rStyle w:val="Teksttreci20"/>
                <w:rFonts w:asciiTheme="minorHAnsi" w:eastAsiaTheme="minorHAnsi" w:hAnsiTheme="minorHAnsi" w:cstheme="minorHAnsi"/>
                <w:b/>
                <w:bCs w:val="0"/>
                <w:color w:val="0070C0"/>
                <w:sz w:val="22"/>
                <w:szCs w:val="22"/>
                <w:u w:val="none"/>
              </w:rPr>
              <w:t xml:space="preserve"> zmiany z MFiG</w:t>
            </w:r>
            <w:r w:rsidR="002B1220">
              <w:rPr>
                <w:rStyle w:val="Teksttreci20"/>
                <w:rFonts w:asciiTheme="minorHAnsi" w:eastAsiaTheme="minorHAnsi" w:hAnsiTheme="minorHAnsi" w:cstheme="minorHAnsi"/>
                <w:b/>
                <w:bCs w:val="0"/>
                <w:color w:val="0070C0"/>
                <w:sz w:val="22"/>
                <w:szCs w:val="22"/>
                <w:u w:val="none"/>
              </w:rPr>
              <w:t xml:space="preserve"> – zmieniono zakres danych z KAS – </w:t>
            </w:r>
            <w:r w:rsidR="001E401D">
              <w:rPr>
                <w:rStyle w:val="Teksttreci20"/>
                <w:rFonts w:asciiTheme="minorHAnsi" w:eastAsiaTheme="minorHAnsi" w:hAnsiTheme="minorHAnsi" w:cstheme="minorHAnsi"/>
                <w:b/>
                <w:bCs w:val="0"/>
                <w:color w:val="0070C0"/>
                <w:sz w:val="22"/>
                <w:szCs w:val="22"/>
                <w:u w:val="none"/>
              </w:rPr>
              <w:t>art</w:t>
            </w:r>
            <w:r w:rsidR="002B1220">
              <w:rPr>
                <w:rStyle w:val="Teksttreci20"/>
                <w:rFonts w:asciiTheme="minorHAnsi" w:eastAsiaTheme="minorHAnsi" w:hAnsiTheme="minorHAnsi" w:cstheme="minorHAnsi"/>
                <w:b/>
                <w:bCs w:val="0"/>
                <w:color w:val="0070C0"/>
                <w:sz w:val="22"/>
                <w:szCs w:val="22"/>
                <w:u w:val="none"/>
              </w:rPr>
              <w:t>. 68s ust. 1 pkt 12 i art. 68zx, usunięto zmianę ustawy – Ordynacja podatkowa</w:t>
            </w:r>
            <w:r w:rsidRPr="00F96EBD">
              <w:rPr>
                <w:rStyle w:val="Teksttreci20"/>
                <w:rFonts w:asciiTheme="minorHAnsi" w:eastAsiaTheme="minorHAnsi" w:hAnsiTheme="minorHAnsi" w:cstheme="minorHAnsi"/>
                <w:b/>
                <w:bCs w:val="0"/>
                <w:color w:val="0070C0"/>
                <w:sz w:val="22"/>
                <w:szCs w:val="22"/>
                <w:u w:val="none"/>
              </w:rPr>
              <w:t>.</w:t>
            </w:r>
          </w:p>
          <w:p w14:paraId="342AB6AF" w14:textId="01F383EC" w:rsidR="00104748" w:rsidRDefault="002B1220" w:rsidP="0042202B">
            <w:pPr>
              <w:pStyle w:val="ZLITUSTzmustliter"/>
              <w:spacing w:line="240" w:lineRule="auto"/>
              <w:ind w:left="0" w:firstLine="0"/>
              <w:jc w:val="left"/>
              <w:rPr>
                <w:rStyle w:val="Teksttreci20"/>
                <w:rFonts w:asciiTheme="minorHAnsi" w:eastAsiaTheme="minorHAnsi" w:hAnsiTheme="minorHAnsi" w:cstheme="minorHAnsi"/>
                <w:b/>
                <w:bCs w:val="0"/>
                <w:color w:val="0070C0"/>
                <w:sz w:val="22"/>
                <w:szCs w:val="22"/>
                <w:u w:val="none"/>
              </w:rPr>
            </w:pPr>
            <w:r>
              <w:rPr>
                <w:rStyle w:val="Teksttreci20"/>
                <w:rFonts w:asciiTheme="minorHAnsi" w:eastAsiaTheme="minorHAnsi" w:hAnsiTheme="minorHAnsi" w:cstheme="minorHAnsi"/>
                <w:b/>
                <w:bCs w:val="0"/>
                <w:color w:val="0070C0"/>
                <w:sz w:val="22"/>
                <w:szCs w:val="22"/>
                <w:u w:val="none"/>
              </w:rPr>
              <w:t>Poprawiono w OSR na 133 oddziały.</w:t>
            </w:r>
          </w:p>
          <w:p w14:paraId="2A75F8A7" w14:textId="6DA238EE" w:rsidR="00F96EBD" w:rsidRPr="002063BF" w:rsidRDefault="00F96EBD" w:rsidP="00104748">
            <w:pPr>
              <w:pStyle w:val="ZLITUSTzmustliter"/>
              <w:spacing w:line="240" w:lineRule="auto"/>
              <w:ind w:left="0" w:firstLine="0"/>
              <w:jc w:val="left"/>
              <w:rPr>
                <w:rStyle w:val="Teksttreci20"/>
                <w:rFonts w:asciiTheme="minorHAnsi" w:eastAsiaTheme="minorHAnsi" w:hAnsiTheme="minorHAnsi" w:cstheme="minorHAnsi"/>
                <w:b/>
                <w:bCs w:val="0"/>
                <w:color w:val="auto"/>
                <w:sz w:val="22"/>
                <w:szCs w:val="22"/>
                <w:u w:val="none"/>
              </w:rPr>
            </w:pPr>
          </w:p>
        </w:tc>
      </w:tr>
      <w:bookmarkEnd w:id="56"/>
      <w:tr w:rsidR="0075728B" w:rsidRPr="00F515D6" w14:paraId="70699406" w14:textId="0AD0EC99" w:rsidTr="00D76FE7">
        <w:tc>
          <w:tcPr>
            <w:tcW w:w="562" w:type="dxa"/>
          </w:tcPr>
          <w:p w14:paraId="74C651CB" w14:textId="77777777" w:rsidR="0075728B" w:rsidRPr="00577EDB" w:rsidRDefault="0075728B" w:rsidP="0042202B">
            <w:pPr>
              <w:rPr>
                <w:rFonts w:cstheme="minorHAnsi"/>
                <w:b/>
              </w:rPr>
            </w:pPr>
            <w:r w:rsidRPr="00577EDB">
              <w:rPr>
                <w:rFonts w:cstheme="minorHAnsi"/>
                <w:b/>
              </w:rPr>
              <w:t>89</w:t>
            </w:r>
          </w:p>
        </w:tc>
        <w:tc>
          <w:tcPr>
            <w:tcW w:w="993" w:type="dxa"/>
          </w:tcPr>
          <w:p w14:paraId="773CD520" w14:textId="77777777" w:rsidR="0075728B" w:rsidRPr="00577EDB" w:rsidRDefault="0075728B" w:rsidP="0042202B">
            <w:pPr>
              <w:rPr>
                <w:rFonts w:cstheme="minorHAnsi"/>
                <w:b/>
              </w:rPr>
            </w:pPr>
            <w:r w:rsidRPr="00577EDB">
              <w:rPr>
                <w:rFonts w:cstheme="minorHAnsi"/>
                <w:b/>
              </w:rPr>
              <w:t>MFiG</w:t>
            </w:r>
          </w:p>
        </w:tc>
        <w:tc>
          <w:tcPr>
            <w:tcW w:w="1701" w:type="dxa"/>
          </w:tcPr>
          <w:p w14:paraId="73C91A8B" w14:textId="77777777" w:rsidR="0075728B" w:rsidRPr="00577EDB" w:rsidRDefault="0075728B" w:rsidP="0042202B">
            <w:pPr>
              <w:rPr>
                <w:rFonts w:cstheme="minorHAnsi"/>
                <w:b/>
              </w:rPr>
            </w:pPr>
            <w:r w:rsidRPr="00577EDB">
              <w:rPr>
                <w:rFonts w:cstheme="minorHAnsi"/>
                <w:b/>
              </w:rPr>
              <w:t>Rozdział 4a UH</w:t>
            </w:r>
          </w:p>
        </w:tc>
        <w:tc>
          <w:tcPr>
            <w:tcW w:w="5953" w:type="dxa"/>
          </w:tcPr>
          <w:p w14:paraId="050C3252" w14:textId="17B6FAB7" w:rsidR="0075728B" w:rsidRPr="00577EDB" w:rsidRDefault="0075728B" w:rsidP="0042202B">
            <w:pPr>
              <w:pStyle w:val="TekstpismaMF"/>
              <w:spacing w:before="0" w:line="240" w:lineRule="auto"/>
              <w:rPr>
                <w:rFonts w:asciiTheme="minorHAnsi" w:hAnsiTheme="minorHAnsi" w:cstheme="minorHAnsi"/>
                <w:b/>
              </w:rPr>
            </w:pPr>
            <w:r w:rsidRPr="00577EDB">
              <w:rPr>
                <w:rFonts w:asciiTheme="minorHAnsi" w:hAnsiTheme="minorHAnsi" w:cstheme="minorHAnsi"/>
                <w:b/>
              </w:rPr>
              <w:t>Ponownej analizy wymaga sposób wprowadzania do ustawy o s.h.p. nowych regulacji w zakresie indywidualnego dopuszczenia pojazdu. W obecnym brzmieniu ustawy przepisy regulujące tę materię ujęte są w rozdziale 4, który ma zostać uchylony. Jednocześnie do ustawy o s.h.p. dodaje się rozdział 4a regulujący ten sam zakres przedmiotowy tj. indywidulane dopuszczenie pojazdu, zamiast zmiany przepisów rozdziału 4.</w:t>
            </w:r>
          </w:p>
        </w:tc>
        <w:tc>
          <w:tcPr>
            <w:tcW w:w="3827" w:type="dxa"/>
          </w:tcPr>
          <w:p w14:paraId="3FF335F3" w14:textId="69D2D133" w:rsidR="0075728B" w:rsidRPr="00577EDB" w:rsidRDefault="0075728B" w:rsidP="0042202B">
            <w:pPr>
              <w:rPr>
                <w:rFonts w:cstheme="minorHAnsi"/>
                <w:b/>
              </w:rPr>
            </w:pPr>
            <w:r w:rsidRPr="00577EDB">
              <w:rPr>
                <w:rFonts w:cstheme="minorHAnsi"/>
                <w:b/>
              </w:rPr>
              <w:t xml:space="preserve">Uwaga nieuwzględniona </w:t>
            </w:r>
            <w:r>
              <w:rPr>
                <w:rFonts w:cstheme="minorHAnsi"/>
                <w:b/>
                <w:i/>
              </w:rPr>
              <w:t>–</w:t>
            </w:r>
            <w:r w:rsidRPr="00577EDB">
              <w:rPr>
                <w:rFonts w:cstheme="minorHAnsi"/>
                <w:b/>
              </w:rPr>
              <w:t xml:space="preserve"> wprowadzono rozdział 4a dla czytelności przepisów i zastosowanej numeracji, wobec dodania </w:t>
            </w:r>
            <w:r>
              <w:rPr>
                <w:rFonts w:cstheme="minorHAnsi"/>
                <w:b/>
              </w:rPr>
              <w:t xml:space="preserve">dużej ilości nowych przepisów dotyczących </w:t>
            </w:r>
            <w:r w:rsidRPr="00577EDB">
              <w:rPr>
                <w:rFonts w:cstheme="minorHAnsi"/>
                <w:b/>
              </w:rPr>
              <w:t>nowej procedury</w:t>
            </w:r>
            <w:r>
              <w:rPr>
                <w:rFonts w:cstheme="minorHAnsi"/>
                <w:b/>
              </w:rPr>
              <w:t xml:space="preserve"> dopuszczenia indywidualnego</w:t>
            </w:r>
            <w:r w:rsidRPr="00577EDB">
              <w:rPr>
                <w:rFonts w:cstheme="minorHAnsi"/>
                <w:b/>
              </w:rPr>
              <w:t xml:space="preserve">, zakresu pojazdów nią objętych i zasad jej przeprowadzania. </w:t>
            </w:r>
          </w:p>
        </w:tc>
        <w:tc>
          <w:tcPr>
            <w:tcW w:w="3686" w:type="dxa"/>
          </w:tcPr>
          <w:p w14:paraId="0C115977" w14:textId="77153A7A" w:rsidR="0075728B" w:rsidRPr="00577EDB" w:rsidRDefault="0075728B" w:rsidP="0042202B">
            <w:pPr>
              <w:rPr>
                <w:rFonts w:cstheme="minorHAnsi"/>
                <w:b/>
              </w:rPr>
            </w:pPr>
            <w:r>
              <w:rPr>
                <w:rFonts w:cstheme="minorHAnsi"/>
                <w:b/>
              </w:rPr>
              <w:t xml:space="preserve">Akceptacja </w:t>
            </w:r>
          </w:p>
        </w:tc>
      </w:tr>
      <w:tr w:rsidR="0075728B" w:rsidRPr="00F515D6" w14:paraId="26FC6443" w14:textId="10A1E055" w:rsidTr="00D76FE7">
        <w:tc>
          <w:tcPr>
            <w:tcW w:w="562" w:type="dxa"/>
          </w:tcPr>
          <w:p w14:paraId="1D60A7D6" w14:textId="77777777" w:rsidR="0075728B" w:rsidRPr="00FD1216" w:rsidRDefault="0075728B" w:rsidP="0042202B">
            <w:pPr>
              <w:rPr>
                <w:rFonts w:cstheme="minorHAnsi"/>
                <w:b/>
              </w:rPr>
            </w:pPr>
            <w:r w:rsidRPr="00FD1216">
              <w:rPr>
                <w:rFonts w:cstheme="minorHAnsi"/>
                <w:b/>
              </w:rPr>
              <w:t>90</w:t>
            </w:r>
          </w:p>
        </w:tc>
        <w:tc>
          <w:tcPr>
            <w:tcW w:w="993" w:type="dxa"/>
          </w:tcPr>
          <w:p w14:paraId="201387BF" w14:textId="77777777" w:rsidR="0075728B" w:rsidRPr="00FD1216" w:rsidRDefault="0075728B" w:rsidP="0042202B">
            <w:pPr>
              <w:rPr>
                <w:rFonts w:cstheme="minorHAnsi"/>
                <w:b/>
              </w:rPr>
            </w:pPr>
            <w:r w:rsidRPr="00FD1216">
              <w:rPr>
                <w:rFonts w:cstheme="minorHAnsi"/>
                <w:b/>
              </w:rPr>
              <w:t>MFiG</w:t>
            </w:r>
          </w:p>
        </w:tc>
        <w:tc>
          <w:tcPr>
            <w:tcW w:w="1701" w:type="dxa"/>
          </w:tcPr>
          <w:p w14:paraId="284B7D69" w14:textId="77777777" w:rsidR="0075728B" w:rsidRPr="00FD1216" w:rsidRDefault="0075728B" w:rsidP="0042202B">
            <w:pPr>
              <w:rPr>
                <w:rFonts w:cstheme="minorHAnsi"/>
                <w:b/>
              </w:rPr>
            </w:pPr>
            <w:r w:rsidRPr="00FD1216">
              <w:rPr>
                <w:rFonts w:cstheme="minorHAnsi"/>
                <w:b/>
              </w:rPr>
              <w:t>Art. 68w pkt 1 lit. d  UH</w:t>
            </w:r>
          </w:p>
        </w:tc>
        <w:tc>
          <w:tcPr>
            <w:tcW w:w="5953" w:type="dxa"/>
          </w:tcPr>
          <w:p w14:paraId="7316E282" w14:textId="77777777" w:rsidR="0075728B" w:rsidRPr="00FD1216" w:rsidRDefault="0075728B" w:rsidP="0042202B">
            <w:pPr>
              <w:pStyle w:val="TekstpismaMF"/>
              <w:spacing w:before="0" w:line="240" w:lineRule="auto"/>
              <w:rPr>
                <w:rFonts w:asciiTheme="minorHAnsi" w:hAnsiTheme="minorHAnsi" w:cstheme="minorHAnsi"/>
                <w:b/>
              </w:rPr>
            </w:pPr>
            <w:r w:rsidRPr="00FD1216">
              <w:rPr>
                <w:rFonts w:asciiTheme="minorHAnsi" w:hAnsiTheme="minorHAnsi" w:cstheme="minorHAnsi"/>
                <w:b/>
              </w:rPr>
              <w:t>Art. 1 pkt 10 projektu ustawy wprowadza nowe brzmienie art. 68w pkt 1 lit d ustawy s.h.p.:</w:t>
            </w:r>
          </w:p>
          <w:p w14:paraId="4FFC8C5D" w14:textId="77777777" w:rsidR="0075728B" w:rsidRPr="00FD1216" w:rsidRDefault="0075728B" w:rsidP="0042202B">
            <w:pPr>
              <w:pStyle w:val="TekstpismaMF"/>
              <w:spacing w:before="0" w:line="240" w:lineRule="auto"/>
              <w:rPr>
                <w:rFonts w:asciiTheme="minorHAnsi" w:hAnsiTheme="minorHAnsi" w:cstheme="minorHAnsi"/>
                <w:b/>
                <w:i/>
                <w:iCs/>
              </w:rPr>
            </w:pPr>
            <w:r w:rsidRPr="00FD1216">
              <w:rPr>
                <w:rFonts w:asciiTheme="minorHAnsi" w:hAnsiTheme="minorHAnsi" w:cstheme="minorHAnsi"/>
                <w:b/>
                <w:i/>
                <w:iCs/>
              </w:rPr>
              <w:t xml:space="preserve">„d) profil ryzyka dla danego pojazdu, przedmiotu wyposażenia lub części wykonany przez organy Krajowej Administracji Skarbowej, jeżeli taki profil został przekazany Dyrektorowi TDT jako organowi nadzoru rynku;”. </w:t>
            </w:r>
          </w:p>
          <w:p w14:paraId="2147C937" w14:textId="6010BC6F" w:rsidR="0075728B" w:rsidRPr="00FD1216" w:rsidRDefault="0075728B" w:rsidP="0042202B">
            <w:pPr>
              <w:pStyle w:val="TekstpismaMF"/>
              <w:spacing w:before="0" w:line="240" w:lineRule="auto"/>
              <w:rPr>
                <w:rFonts w:asciiTheme="minorHAnsi" w:hAnsiTheme="minorHAnsi" w:cstheme="minorHAnsi"/>
                <w:b/>
              </w:rPr>
            </w:pPr>
            <w:r w:rsidRPr="00FD1216">
              <w:rPr>
                <w:rFonts w:asciiTheme="minorHAnsi" w:hAnsiTheme="minorHAnsi" w:cstheme="minorHAnsi"/>
                <w:b/>
              </w:rPr>
              <w:t>Należy usunąć projektowany zapis. Organy celne występując o opinie do organu nadzoru rynku - Dyrektora TDT będą przekazywały kompleksowy zakres danych, Dyrektor TDT będzie posiadał więc informacje do prowadzenia analizy ryzyka i typowania podmiotów/towarów do kontroli, zgodnie ze swoją właściwością jako organ nadzoru rynku.</w:t>
            </w:r>
          </w:p>
        </w:tc>
        <w:tc>
          <w:tcPr>
            <w:tcW w:w="3827" w:type="dxa"/>
          </w:tcPr>
          <w:p w14:paraId="59FF01FE" w14:textId="18AF9FDC" w:rsidR="0075728B" w:rsidRPr="00FD1216" w:rsidRDefault="0075728B" w:rsidP="0042202B">
            <w:pPr>
              <w:rPr>
                <w:rFonts w:cstheme="minorHAnsi"/>
                <w:b/>
              </w:rPr>
            </w:pPr>
            <w:r w:rsidRPr="00FD1216">
              <w:rPr>
                <w:rFonts w:cstheme="minorHAnsi"/>
                <w:b/>
              </w:rPr>
              <w:t>Uwaga uwzględniona</w:t>
            </w:r>
            <w:r>
              <w:rPr>
                <w:rFonts w:cstheme="minorHAnsi"/>
                <w:b/>
              </w:rPr>
              <w:t xml:space="preserve"> poprzez wykreślenie przepisu</w:t>
            </w:r>
            <w:r w:rsidRPr="00FD1216">
              <w:rPr>
                <w:rFonts w:cstheme="minorHAnsi"/>
                <w:b/>
              </w:rPr>
              <w:t xml:space="preserve">. </w:t>
            </w:r>
          </w:p>
        </w:tc>
        <w:tc>
          <w:tcPr>
            <w:tcW w:w="3686" w:type="dxa"/>
          </w:tcPr>
          <w:p w14:paraId="2D27D5E7" w14:textId="6E0096E4" w:rsidR="0075728B" w:rsidRPr="00FD1216" w:rsidRDefault="0075728B" w:rsidP="0042202B">
            <w:pPr>
              <w:rPr>
                <w:rFonts w:cstheme="minorHAnsi"/>
                <w:b/>
              </w:rPr>
            </w:pPr>
            <w:r>
              <w:rPr>
                <w:rFonts w:cstheme="minorHAnsi"/>
                <w:b/>
              </w:rPr>
              <w:t>Akceptacja</w:t>
            </w:r>
          </w:p>
        </w:tc>
      </w:tr>
      <w:tr w:rsidR="0075728B" w:rsidRPr="00F515D6" w14:paraId="28E5B906" w14:textId="6C45BB28" w:rsidTr="00D76FE7">
        <w:tc>
          <w:tcPr>
            <w:tcW w:w="562" w:type="dxa"/>
          </w:tcPr>
          <w:p w14:paraId="3B9F22E6" w14:textId="77777777" w:rsidR="0075728B" w:rsidRPr="00025977" w:rsidRDefault="0075728B" w:rsidP="0042202B">
            <w:pPr>
              <w:rPr>
                <w:rFonts w:cstheme="minorHAnsi"/>
                <w:b/>
              </w:rPr>
            </w:pPr>
            <w:r w:rsidRPr="00025977">
              <w:rPr>
                <w:rFonts w:cstheme="minorHAnsi"/>
                <w:b/>
              </w:rPr>
              <w:t>91</w:t>
            </w:r>
          </w:p>
        </w:tc>
        <w:tc>
          <w:tcPr>
            <w:tcW w:w="993" w:type="dxa"/>
          </w:tcPr>
          <w:p w14:paraId="3F2FBB9D" w14:textId="77777777" w:rsidR="0075728B" w:rsidRDefault="0075728B" w:rsidP="0042202B">
            <w:pPr>
              <w:rPr>
                <w:rFonts w:cstheme="minorHAnsi"/>
                <w:b/>
              </w:rPr>
            </w:pPr>
            <w:r w:rsidRPr="00025977">
              <w:rPr>
                <w:rFonts w:cstheme="minorHAnsi"/>
                <w:b/>
              </w:rPr>
              <w:t>MFiG</w:t>
            </w:r>
          </w:p>
          <w:p w14:paraId="39A19368" w14:textId="77777777" w:rsidR="0075728B" w:rsidRDefault="0075728B" w:rsidP="0042202B">
            <w:pPr>
              <w:rPr>
                <w:rFonts w:cstheme="minorHAnsi"/>
                <w:b/>
              </w:rPr>
            </w:pPr>
          </w:p>
          <w:p w14:paraId="630AB31C" w14:textId="140B09F8" w:rsidR="0075728B" w:rsidRPr="00487324" w:rsidRDefault="0075728B" w:rsidP="0042202B">
            <w:pPr>
              <w:rPr>
                <w:rFonts w:cstheme="minorHAnsi"/>
                <w:b/>
                <w:color w:val="00B050"/>
              </w:rPr>
            </w:pPr>
            <w:r>
              <w:rPr>
                <w:rFonts w:cstheme="minorHAnsi"/>
                <w:b/>
                <w:color w:val="00B050"/>
              </w:rPr>
              <w:t>+uwaga 104 MFiG</w:t>
            </w:r>
          </w:p>
        </w:tc>
        <w:tc>
          <w:tcPr>
            <w:tcW w:w="1701" w:type="dxa"/>
          </w:tcPr>
          <w:p w14:paraId="2C86260B" w14:textId="77777777" w:rsidR="0075728B" w:rsidRPr="00025977" w:rsidRDefault="0075728B" w:rsidP="0042202B">
            <w:pPr>
              <w:rPr>
                <w:rFonts w:cstheme="minorHAnsi"/>
                <w:b/>
              </w:rPr>
            </w:pPr>
            <w:r w:rsidRPr="00025977">
              <w:rPr>
                <w:rFonts w:cstheme="minorHAnsi"/>
                <w:b/>
              </w:rPr>
              <w:t>Art. 132 ust. 1a pkt 8 i 9 PRD</w:t>
            </w:r>
          </w:p>
        </w:tc>
        <w:tc>
          <w:tcPr>
            <w:tcW w:w="5953" w:type="dxa"/>
          </w:tcPr>
          <w:p w14:paraId="316E4AEA" w14:textId="77777777" w:rsidR="0075728B" w:rsidRPr="00025977" w:rsidRDefault="0075728B" w:rsidP="0042202B">
            <w:pPr>
              <w:pStyle w:val="TekstpismaMF"/>
              <w:spacing w:before="0" w:line="240" w:lineRule="auto"/>
              <w:rPr>
                <w:rFonts w:asciiTheme="minorHAnsi" w:hAnsiTheme="minorHAnsi" w:cstheme="minorHAnsi"/>
                <w:b/>
              </w:rPr>
            </w:pPr>
            <w:r w:rsidRPr="00025977">
              <w:rPr>
                <w:rFonts w:asciiTheme="minorHAnsi" w:hAnsiTheme="minorHAnsi" w:cstheme="minorHAnsi"/>
                <w:b/>
              </w:rPr>
              <w:t>Projektowane rozwiązanie (art. 2 pkt 22 projektu ustawy) przewidujące, że w stosunku do kierującego pojazdem zarejestrowanym za granicą uczestniczącym w ruchu na terytorium RP, m.in. funkcjonariusz Służby Celno-Skarbowej będzie mógł zatrzymać dowód rejestracyjny (pozwolenie czasowe) w razie upływu roku od dnia wjazdu na terytorium Rzeczypospolitej Polskiej w przypadku pojazdu zarejestrowanego na terytorium państwa niebędącego państwem członkowskim (...) w praktyce będzie, niezwykle trudne do wyegzekwowania z racji braku skutecznych narzędzi pozwalających na weryfikację ww. stanu faktycznego.</w:t>
            </w:r>
          </w:p>
          <w:p w14:paraId="6F3CC175" w14:textId="77777777" w:rsidR="0075728B" w:rsidRPr="00025977" w:rsidRDefault="0075728B" w:rsidP="0042202B">
            <w:pPr>
              <w:rPr>
                <w:rFonts w:cstheme="minorHAnsi"/>
                <w:b/>
              </w:rPr>
            </w:pPr>
          </w:p>
        </w:tc>
        <w:tc>
          <w:tcPr>
            <w:tcW w:w="3827" w:type="dxa"/>
          </w:tcPr>
          <w:p w14:paraId="7E2843CE" w14:textId="77777777" w:rsidR="0075728B" w:rsidRDefault="0075728B" w:rsidP="0042202B">
            <w:pPr>
              <w:rPr>
                <w:rFonts w:cstheme="minorHAnsi"/>
                <w:b/>
              </w:rPr>
            </w:pPr>
            <w:r w:rsidRPr="00025977">
              <w:rPr>
                <w:rFonts w:cstheme="minorHAnsi"/>
                <w:b/>
              </w:rPr>
              <w:t>Ministerstwo Infrastruktury dostrzega ograniczenia wynikające z art. 1 rozporządzenia Parlamentu Europejskiego i Rady (UE) 2016/399 z dnia 9 marca 2016 r. w sprawie unijnego kodeksu zasad regulujących przepływ osób przez granice, które wpłyną na brak możliwości pozyskania danych o części cudzoziemców i ich pojazdów przekraczających granice RP będące granicą wewnętrzną pomiędzy państwami członkowskimi UE i innymi państwami stosującymi dorobek prawny Schengen, co wpłynie na trudności w egzekwowaniu niniejszego przepisu. MI ocenia, że nie powinno to stanowić przeszkody do podjęcia działań zmierzających do wprowadzenia regulacji ograniczających poruszanie się w ruchu międzynarodowym pojazdów wjeżdżających na terytorium RP bezpośrednio z terytoriów państw trzecich. Zaproponowane rozwiązanie wzmocni porządek publiczny i bezpieczeństwo na polskich drogach, poprzez uniemożliwienie nadużywania prawa do poruszania się cudzoziemców pojazdami zarejestrowanymi za zagranicą w ramach ruchu międzynarodowego, szczególnie tymi, które nie podlegają w państwach pochodzenia obowiązkom okresowych badań technicznych. Poza tym możliwa jest przyszła modyfikacja tych przepisów po pewnym okresie ich funkcjonowania, która pozwoli uszczelnić przyjęte rozwiązania.</w:t>
            </w:r>
          </w:p>
          <w:p w14:paraId="08D6862A" w14:textId="7A3A1DC4" w:rsidR="0075728B" w:rsidRPr="00025977" w:rsidRDefault="0075728B" w:rsidP="0042202B">
            <w:pPr>
              <w:rPr>
                <w:rFonts w:cstheme="minorHAnsi"/>
                <w:b/>
              </w:rPr>
            </w:pPr>
            <w:r>
              <w:rPr>
                <w:rFonts w:cstheme="minorHAnsi"/>
                <w:b/>
              </w:rPr>
              <w:t>Zrezygnowano z dodawania pkt 9 do art. 132 ust. 1a PRD.</w:t>
            </w:r>
          </w:p>
        </w:tc>
        <w:tc>
          <w:tcPr>
            <w:tcW w:w="3686" w:type="dxa"/>
          </w:tcPr>
          <w:p w14:paraId="4A29EF3B" w14:textId="102250E3" w:rsidR="0075728B" w:rsidRPr="00025977" w:rsidRDefault="0075728B" w:rsidP="0042202B">
            <w:pPr>
              <w:rPr>
                <w:rFonts w:cstheme="minorHAnsi"/>
                <w:b/>
              </w:rPr>
            </w:pPr>
            <w:r>
              <w:rPr>
                <w:rFonts w:cstheme="minorHAnsi"/>
                <w:b/>
              </w:rPr>
              <w:t xml:space="preserve">Akceptacja </w:t>
            </w:r>
          </w:p>
        </w:tc>
      </w:tr>
      <w:tr w:rsidR="0075728B" w:rsidRPr="00F515D6" w14:paraId="2D90BFF0" w14:textId="45CB9475" w:rsidTr="00D76FE7">
        <w:tc>
          <w:tcPr>
            <w:tcW w:w="562" w:type="dxa"/>
          </w:tcPr>
          <w:p w14:paraId="0FF7E4C3" w14:textId="77777777" w:rsidR="0075728B" w:rsidRPr="009650A4" w:rsidRDefault="0075728B" w:rsidP="0042202B">
            <w:pPr>
              <w:rPr>
                <w:rFonts w:cstheme="minorHAnsi"/>
                <w:b/>
              </w:rPr>
            </w:pPr>
            <w:r w:rsidRPr="009650A4">
              <w:rPr>
                <w:rFonts w:cstheme="minorHAnsi"/>
                <w:b/>
              </w:rPr>
              <w:t>92</w:t>
            </w:r>
          </w:p>
        </w:tc>
        <w:tc>
          <w:tcPr>
            <w:tcW w:w="993" w:type="dxa"/>
          </w:tcPr>
          <w:p w14:paraId="423362F9" w14:textId="77777777" w:rsidR="0075728B" w:rsidRDefault="0075728B" w:rsidP="0042202B">
            <w:pPr>
              <w:rPr>
                <w:rFonts w:cstheme="minorHAnsi"/>
                <w:b/>
              </w:rPr>
            </w:pPr>
            <w:r w:rsidRPr="009650A4">
              <w:rPr>
                <w:rFonts w:cstheme="minorHAnsi"/>
                <w:b/>
              </w:rPr>
              <w:t>MFiG</w:t>
            </w:r>
          </w:p>
          <w:p w14:paraId="340FCE8E" w14:textId="64D982E1" w:rsidR="0075728B" w:rsidRPr="005E17D6" w:rsidRDefault="0075728B" w:rsidP="0042202B">
            <w:pPr>
              <w:rPr>
                <w:rFonts w:cstheme="minorHAnsi"/>
                <w:b/>
                <w:color w:val="00B050"/>
              </w:rPr>
            </w:pPr>
            <w:r>
              <w:rPr>
                <w:rFonts w:cstheme="minorHAnsi"/>
                <w:b/>
                <w:color w:val="00B050"/>
              </w:rPr>
              <w:t>+powiązane z 37 MFiG (MRIT)</w:t>
            </w:r>
          </w:p>
        </w:tc>
        <w:tc>
          <w:tcPr>
            <w:tcW w:w="1701" w:type="dxa"/>
          </w:tcPr>
          <w:p w14:paraId="5D73DC86" w14:textId="77777777" w:rsidR="0075728B" w:rsidRPr="009650A4" w:rsidRDefault="0075728B" w:rsidP="0042202B">
            <w:pPr>
              <w:rPr>
                <w:rFonts w:cstheme="minorHAnsi"/>
                <w:b/>
              </w:rPr>
            </w:pPr>
            <w:r w:rsidRPr="009650A4">
              <w:rPr>
                <w:rFonts w:cstheme="minorHAnsi"/>
                <w:b/>
              </w:rPr>
              <w:t>Art. 68za ust. 1  UH</w:t>
            </w:r>
          </w:p>
        </w:tc>
        <w:tc>
          <w:tcPr>
            <w:tcW w:w="5953" w:type="dxa"/>
          </w:tcPr>
          <w:p w14:paraId="40DFF0B3" w14:textId="5A08BC9A" w:rsidR="0075728B" w:rsidRPr="009650A4" w:rsidRDefault="0075728B" w:rsidP="0042202B">
            <w:pPr>
              <w:pStyle w:val="TekstpismaMF"/>
              <w:spacing w:before="0" w:line="240" w:lineRule="auto"/>
              <w:rPr>
                <w:rFonts w:asciiTheme="minorHAnsi" w:hAnsiTheme="minorHAnsi" w:cstheme="minorHAnsi"/>
                <w:b/>
              </w:rPr>
            </w:pPr>
            <w:r w:rsidRPr="009650A4">
              <w:rPr>
                <w:rFonts w:asciiTheme="minorHAnsi" w:hAnsiTheme="minorHAnsi" w:cstheme="minorHAnsi"/>
                <w:b/>
              </w:rPr>
              <w:t>Projektowany art. 68za ust. 1 ustawy o s.h.p. przewiduje opłatę za przeprowadzone badania, które wykazały niezgodność z wymaganiami lub tworzenie ryzyka przez pojazd przedmiot wyposażenia lub cześć. Opłata jest nakładana w formie postanowienia przez Dyrektora TDT, a w przypadku, gdy nie zostanie uiszczona w terminie podlega ściągnięciu w trybie przepisów o postepowaniu egzekucyjnym w administracji. Należy zauważyć, że możliwość przymusowego dochodzenia należności pieniężnej w trybie egzekucji administracyjnej wiąże się z koniecznością określenia, jakiemu reżimowi prawnemu podlega ta należność (termin przedawnienia, czy ulega  on zawieszeniu bądź przerwaniu – jeżeli tak to na skutek jakich zdarzeń, czy od należności  naliczane są odsetki – jeżeli tak to w jakiej wysokości, itd.).</w:t>
            </w:r>
          </w:p>
        </w:tc>
        <w:tc>
          <w:tcPr>
            <w:tcW w:w="3827" w:type="dxa"/>
          </w:tcPr>
          <w:p w14:paraId="7CC5B92F" w14:textId="1505F7EE" w:rsidR="0075728B" w:rsidRDefault="0075728B" w:rsidP="0042202B">
            <w:pPr>
              <w:rPr>
                <w:rFonts w:cstheme="minorHAnsi"/>
                <w:b/>
              </w:rPr>
            </w:pPr>
            <w:r w:rsidRPr="009650A4">
              <w:rPr>
                <w:rFonts w:cstheme="minorHAnsi"/>
                <w:b/>
              </w:rPr>
              <w:t xml:space="preserve">Uwaga uwzględniona </w:t>
            </w:r>
            <w:r>
              <w:rPr>
                <w:rFonts w:cstheme="minorHAnsi"/>
                <w:b/>
              </w:rPr>
              <w:t>–</w:t>
            </w:r>
            <w:r w:rsidRPr="009650A4">
              <w:rPr>
                <w:rFonts w:cstheme="minorHAnsi"/>
                <w:b/>
              </w:rPr>
              <w:t xml:space="preserve"> zmieniono przepis</w:t>
            </w:r>
            <w:r>
              <w:rPr>
                <w:rFonts w:cstheme="minorHAnsi"/>
                <w:b/>
              </w:rPr>
              <w:t>y:</w:t>
            </w:r>
          </w:p>
          <w:p w14:paraId="5963339F" w14:textId="0471512C" w:rsidR="0075728B" w:rsidRPr="002E0AC1" w:rsidRDefault="0075728B"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r w:rsidRPr="002E0AC1">
              <w:rPr>
                <w:rFonts w:asciiTheme="minorHAnsi" w:eastAsiaTheme="minorHAnsi" w:hAnsiTheme="minorHAnsi" w:cstheme="minorHAnsi"/>
                <w:b/>
                <w:i/>
                <w:sz w:val="22"/>
                <w:szCs w:val="22"/>
                <w:lang w:eastAsia="en-US"/>
              </w:rPr>
              <w:t>„Art. 68za. 1. W przypadku gdy przeprowadzone badania wykazały niezgodność z wymaganiami technicznymi lub stwarzanie przez pojazd, przedmiot wyposażenia lub część poważnego ryzyka, wiążące się z koniecznością ich zniszczenia, Dyrektor TDT wydaje decyzję, o której mowa w art. 53b ust. 2 pkt 3, w której  do dokonania zniszczenia zobowiązuje  podmiot gospodarczy, który wprowadził do obrotu lub udostępnił na rynku taki pojazd, przedmiot wyposażenia lub część, a w przypadku braku możliwości ustalenia tego podmiotu − dystrybutora, mającego miejsce zamieszkania lub siedzibę na terytorium Rzeczypospolitej Polskiej, który po raz pierwszy na tym terytorium udostępnił ten pojazd, przedmiot wyposażenia lub część.”</w:t>
            </w:r>
          </w:p>
          <w:p w14:paraId="1E0924C8" w14:textId="77777777" w:rsidR="0075728B" w:rsidRPr="002E0AC1" w:rsidRDefault="0075728B" w:rsidP="0042202B">
            <w:pPr>
              <w:pStyle w:val="ZARTzmartartykuempunktem"/>
              <w:keepNext/>
              <w:spacing w:line="240" w:lineRule="auto"/>
              <w:ind w:left="0" w:firstLine="0"/>
              <w:jc w:val="left"/>
              <w:rPr>
                <w:rFonts w:asciiTheme="minorHAnsi" w:eastAsiaTheme="minorHAnsi" w:hAnsiTheme="minorHAnsi" w:cstheme="minorHAnsi"/>
                <w:b/>
                <w:i/>
                <w:sz w:val="22"/>
                <w:szCs w:val="22"/>
                <w:lang w:eastAsia="en-US"/>
              </w:rPr>
            </w:pPr>
          </w:p>
          <w:p w14:paraId="571E54D6" w14:textId="5DC19D9D" w:rsidR="0075728B" w:rsidRPr="002E0AC1"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2E0AC1">
              <w:rPr>
                <w:rFonts w:asciiTheme="minorHAnsi" w:eastAsiaTheme="minorHAnsi" w:hAnsiTheme="minorHAnsi" w:cstheme="minorHAnsi"/>
                <w:b/>
                <w:i/>
                <w:sz w:val="22"/>
                <w:szCs w:val="22"/>
                <w:lang w:eastAsia="en-US"/>
              </w:rPr>
              <w:t>„12. Podmiot gospodarczy, któremu została doręczona decyzja o zniszczeniu pojazdu, przedmiotu wyposażenia lub części, jest obowiązany, w terminie 20 dni od dnia zniszczenia pojazdu, przedmiotu wyposażenia lub części, do nadania przeznaczenia odpadom i pozostałościom pochodzącym ze zniszczenia pojazdu, przedmiotu wyposażenia lub części.</w:t>
            </w:r>
          </w:p>
          <w:p w14:paraId="41A96EC2" w14:textId="77777777" w:rsidR="0075728B" w:rsidRPr="002E0AC1"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2E0AC1">
              <w:rPr>
                <w:rFonts w:asciiTheme="minorHAnsi" w:eastAsiaTheme="minorHAnsi" w:hAnsiTheme="minorHAnsi" w:cstheme="minorHAnsi"/>
                <w:b/>
                <w:i/>
                <w:sz w:val="22"/>
                <w:szCs w:val="22"/>
                <w:lang w:eastAsia="en-US"/>
              </w:rPr>
              <w:t>13. W przypadku gdy podmiot gospodarczy nie wykonał decyzji o zniszczeniu pojazdu, przedmiotu wyposażenia lub części w terminie 90 dni, Dyrektor TDT jako organ nadzoru rynku wydaje decyzję o dokonaniu ich zniszczenia na koszt tego podmiotu.</w:t>
            </w:r>
          </w:p>
          <w:p w14:paraId="1C0ADA3A" w14:textId="77777777" w:rsidR="0075728B" w:rsidRPr="002E0AC1"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bookmarkStart w:id="59" w:name="_Hlk224322011"/>
            <w:r w:rsidRPr="002E0AC1">
              <w:rPr>
                <w:rFonts w:asciiTheme="minorHAnsi" w:eastAsiaTheme="minorHAnsi" w:hAnsiTheme="minorHAnsi" w:cstheme="minorHAnsi"/>
                <w:b/>
                <w:i/>
                <w:sz w:val="22"/>
                <w:szCs w:val="22"/>
                <w:lang w:eastAsia="en-US"/>
              </w:rPr>
              <w:t>14. W decyzji, o której mowa w ust. 13, Dyrektor TDT określa kwotę stanowiącą równowartość kosztów zniszczenia pojazdu, wyposażenia lub części oraz innych poniesionych przez Dyrektora TDT kosztów związanych z ich zniszczeniem, w tym kosztów transportu i przechowywania. Kwota określona w decyzji podlega ściągnięciu na podstawie przepisów o postępowaniu egzekucyjnym w administracji.</w:t>
            </w:r>
          </w:p>
          <w:p w14:paraId="6A21CBB5" w14:textId="25A8C753" w:rsidR="0075728B" w:rsidRPr="002E0AC1" w:rsidRDefault="0075728B"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r w:rsidRPr="002E0AC1">
              <w:rPr>
                <w:rFonts w:asciiTheme="minorHAnsi" w:eastAsiaTheme="minorHAnsi" w:hAnsiTheme="minorHAnsi" w:cstheme="minorHAnsi"/>
                <w:b/>
                <w:i/>
                <w:sz w:val="22"/>
                <w:szCs w:val="22"/>
                <w:lang w:eastAsia="en-US"/>
              </w:rPr>
              <w:t>15. Kwota, o której mowa w ust. 14, stanowi przychód Dyrektora TDT jako organu nadzoru rynku.</w:t>
            </w:r>
            <w:bookmarkEnd w:id="59"/>
            <w:r w:rsidRPr="002E0AC1">
              <w:rPr>
                <w:rFonts w:asciiTheme="minorHAnsi" w:eastAsiaTheme="minorHAnsi" w:hAnsiTheme="minorHAnsi" w:cstheme="minorHAnsi"/>
                <w:b/>
                <w:i/>
                <w:sz w:val="22"/>
                <w:szCs w:val="22"/>
                <w:lang w:eastAsia="en-US"/>
              </w:rPr>
              <w:t>”</w:t>
            </w:r>
          </w:p>
        </w:tc>
        <w:tc>
          <w:tcPr>
            <w:tcW w:w="3686" w:type="dxa"/>
          </w:tcPr>
          <w:p w14:paraId="7BC1123B" w14:textId="1574DE4A" w:rsidR="00D76FE7" w:rsidRDefault="0075728B" w:rsidP="0042202B">
            <w:pPr>
              <w:rPr>
                <w:rFonts w:cstheme="minorHAnsi"/>
                <w:b/>
              </w:rPr>
            </w:pPr>
            <w:r>
              <w:rPr>
                <w:rFonts w:cstheme="minorHAnsi"/>
                <w:b/>
              </w:rPr>
              <w:t xml:space="preserve">Do uzupełnienia – szczegóły dot. odsetek, terminów, przedawnienia </w:t>
            </w:r>
            <w:r w:rsidR="00D76FE7">
              <w:rPr>
                <w:rFonts w:cstheme="minorHAnsi"/>
                <w:b/>
              </w:rPr>
              <w:t xml:space="preserve"> M</w:t>
            </w:r>
            <w:r w:rsidR="00D76FE7" w:rsidRPr="009650A4">
              <w:rPr>
                <w:rFonts w:cstheme="minorHAnsi"/>
                <w:b/>
              </w:rPr>
              <w:t>ożliwość przymusowego dochodzenia należności pieniężnej w trybie egzekucji administracyjnej wiąże się z koniecznością określenia, jakiemu reżimowi prawnemu podlega ta należność (termin przedawnienia, czy ulega  on zawieszeniu bądź przerwaniu – jeżeli tak to na skutek jakich zdarzeń, czy od należności  naliczane są odsetki – jeżeli tak to w jakiej wysokości, itd.).</w:t>
            </w:r>
            <w:r w:rsidR="00D76FE7">
              <w:rPr>
                <w:rFonts w:cstheme="minorHAnsi"/>
                <w:b/>
              </w:rPr>
              <w:t xml:space="preserve"> Zatem powyższe kwestie powinny zostać rozstrzygnięte na gruncie projektowanych przepisów. </w:t>
            </w:r>
          </w:p>
          <w:p w14:paraId="51B78F85" w14:textId="77777777" w:rsidR="0075728B" w:rsidRDefault="00D76FE7" w:rsidP="0042202B">
            <w:pPr>
              <w:rPr>
                <w:rFonts w:cstheme="minorHAnsi"/>
                <w:b/>
              </w:rPr>
            </w:pPr>
            <w:r>
              <w:rPr>
                <w:rFonts w:cstheme="minorHAnsi"/>
                <w:b/>
              </w:rPr>
              <w:t>Dla przykładu w odniesieniu do niektórych należności pieniężnych, w zakresie nieuregulowanym w ustawie szczególnej projektodawcy odsyłają do odpowiedniego stosowania przepisów działu III ustawy – Ordynacja podatkowa.</w:t>
            </w:r>
          </w:p>
          <w:p w14:paraId="35ECF635" w14:textId="77777777" w:rsidR="00F96EBD" w:rsidRDefault="00F96EBD" w:rsidP="0042202B">
            <w:pPr>
              <w:rPr>
                <w:rFonts w:cstheme="minorHAnsi"/>
                <w:b/>
              </w:rPr>
            </w:pPr>
          </w:p>
          <w:p w14:paraId="5A0C73A8" w14:textId="77777777" w:rsidR="00F96EBD" w:rsidRDefault="00F96EBD" w:rsidP="0042202B">
            <w:pPr>
              <w:rPr>
                <w:rFonts w:cstheme="minorHAnsi"/>
                <w:b/>
              </w:rPr>
            </w:pPr>
          </w:p>
          <w:p w14:paraId="3B977AD6" w14:textId="5A941C89" w:rsidR="00104748" w:rsidRPr="00104748" w:rsidRDefault="00F96EBD" w:rsidP="00104748">
            <w:pPr>
              <w:rPr>
                <w:rFonts w:cstheme="minorHAnsi"/>
                <w:b/>
                <w:color w:val="0070C0"/>
                <w:u w:val="single"/>
              </w:rPr>
            </w:pPr>
            <w:r w:rsidRPr="00F96EBD">
              <w:rPr>
                <w:rFonts w:cstheme="minorHAnsi"/>
                <w:b/>
                <w:color w:val="0070C0"/>
              </w:rPr>
              <w:t>Wprowadzono zmiany w</w:t>
            </w:r>
            <w:r w:rsidR="002B1220">
              <w:rPr>
                <w:rFonts w:cstheme="minorHAnsi"/>
                <w:b/>
                <w:color w:val="0070C0"/>
              </w:rPr>
              <w:t xml:space="preserve"> </w:t>
            </w:r>
            <w:r w:rsidRPr="00F96EBD">
              <w:rPr>
                <w:rFonts w:cstheme="minorHAnsi"/>
                <w:b/>
                <w:color w:val="0070C0"/>
              </w:rPr>
              <w:t>art. 71s</w:t>
            </w:r>
            <w:r w:rsidR="00104748">
              <w:rPr>
                <w:rFonts w:cstheme="minorHAnsi"/>
                <w:b/>
                <w:color w:val="0070C0"/>
              </w:rPr>
              <w:t xml:space="preserve"> – </w:t>
            </w:r>
            <w:r w:rsidR="00104748" w:rsidRPr="00104748">
              <w:rPr>
                <w:rFonts w:cstheme="minorHAnsi"/>
                <w:b/>
                <w:color w:val="0070C0"/>
                <w:u w:val="single"/>
              </w:rPr>
              <w:t xml:space="preserve">rozdzielono przepisy w zakresie egzekucji zgodnie z uwagą roboczą RCL: art. 68zzb, art. 70 ust. 11 i art. 71 ust. 10 oraz art. 71s. </w:t>
            </w:r>
          </w:p>
          <w:p w14:paraId="2E0B272B" w14:textId="0982CC3F" w:rsidR="00104748" w:rsidRPr="009650A4" w:rsidRDefault="00104748" w:rsidP="0042202B">
            <w:pPr>
              <w:rPr>
                <w:rFonts w:cstheme="minorHAnsi"/>
                <w:b/>
              </w:rPr>
            </w:pPr>
          </w:p>
        </w:tc>
      </w:tr>
      <w:tr w:rsidR="0075728B" w:rsidRPr="00F515D6" w14:paraId="59DA1E3A" w14:textId="7CEA6E37" w:rsidTr="00D76FE7">
        <w:tc>
          <w:tcPr>
            <w:tcW w:w="562" w:type="dxa"/>
          </w:tcPr>
          <w:p w14:paraId="25202438" w14:textId="77777777" w:rsidR="0075728B" w:rsidRPr="006146B4" w:rsidRDefault="0075728B" w:rsidP="0042202B">
            <w:pPr>
              <w:rPr>
                <w:rFonts w:cstheme="minorHAnsi"/>
                <w:b/>
              </w:rPr>
            </w:pPr>
            <w:r w:rsidRPr="006146B4">
              <w:rPr>
                <w:rFonts w:cstheme="minorHAnsi"/>
                <w:b/>
              </w:rPr>
              <w:t>93</w:t>
            </w:r>
          </w:p>
        </w:tc>
        <w:tc>
          <w:tcPr>
            <w:tcW w:w="993" w:type="dxa"/>
          </w:tcPr>
          <w:p w14:paraId="5D1A3D80" w14:textId="77777777" w:rsidR="0075728B" w:rsidRPr="006146B4" w:rsidRDefault="0075728B" w:rsidP="0042202B">
            <w:pPr>
              <w:rPr>
                <w:rFonts w:cstheme="minorHAnsi"/>
                <w:b/>
              </w:rPr>
            </w:pPr>
            <w:r w:rsidRPr="006146B4">
              <w:rPr>
                <w:rFonts w:cstheme="minorHAnsi"/>
                <w:b/>
              </w:rPr>
              <w:t>MFiG</w:t>
            </w:r>
          </w:p>
        </w:tc>
        <w:tc>
          <w:tcPr>
            <w:tcW w:w="1701" w:type="dxa"/>
          </w:tcPr>
          <w:p w14:paraId="52B64A70" w14:textId="77777777" w:rsidR="0075728B" w:rsidRPr="006146B4" w:rsidRDefault="0075728B" w:rsidP="0042202B">
            <w:pPr>
              <w:rPr>
                <w:rFonts w:cstheme="minorHAnsi"/>
                <w:b/>
              </w:rPr>
            </w:pPr>
            <w:r w:rsidRPr="006146B4">
              <w:rPr>
                <w:rFonts w:cstheme="minorHAnsi"/>
                <w:b/>
              </w:rPr>
              <w:t>Art. 68zh ust. 2  UH</w:t>
            </w:r>
          </w:p>
        </w:tc>
        <w:tc>
          <w:tcPr>
            <w:tcW w:w="5953" w:type="dxa"/>
          </w:tcPr>
          <w:p w14:paraId="36529CF4" w14:textId="1C3843D4" w:rsidR="0075728B" w:rsidRPr="006146B4" w:rsidRDefault="0075728B" w:rsidP="0042202B">
            <w:pPr>
              <w:pStyle w:val="TekstpismaMF"/>
              <w:spacing w:before="0" w:line="240" w:lineRule="auto"/>
              <w:rPr>
                <w:rFonts w:asciiTheme="minorHAnsi" w:hAnsiTheme="minorHAnsi" w:cstheme="minorHAnsi"/>
                <w:b/>
              </w:rPr>
            </w:pPr>
            <w:r w:rsidRPr="006146B4">
              <w:rPr>
                <w:rFonts w:asciiTheme="minorHAnsi" w:hAnsiTheme="minorHAnsi" w:cstheme="minorHAnsi"/>
                <w:b/>
              </w:rPr>
              <w:t>Uzupełnienia wymaga projektowany art. 68zh ust. 2 ustawy o s.h.p. Przepis ten umożliwia Dyrektorowi TDT nałożenie na stronę, która wniosła o przeprowadzenie dowodu z opinii biegłego obowiązku wpłacenia zaliczki na poczet wydatków tego biegłego. Przepis nie reguluje jednak sposobu postępowania Dyrektora TDT, w przypadku gdy strona nie wpłaciła zaliczki mimo nałożenia na nią takiego obowiązku. Czy w takim przypadku opinia biegłego jest sporządzana.</w:t>
            </w:r>
          </w:p>
        </w:tc>
        <w:tc>
          <w:tcPr>
            <w:tcW w:w="3827" w:type="dxa"/>
          </w:tcPr>
          <w:p w14:paraId="04FF4102" w14:textId="77777777" w:rsidR="0075728B" w:rsidRDefault="0075728B" w:rsidP="0042202B">
            <w:pPr>
              <w:rPr>
                <w:rFonts w:cstheme="minorHAnsi"/>
                <w:b/>
              </w:rPr>
            </w:pPr>
            <w:r>
              <w:rPr>
                <w:rFonts w:cstheme="minorHAnsi"/>
                <w:b/>
              </w:rPr>
              <w:t>Uwaga uwzględniona – doprecyzowano przepis:</w:t>
            </w:r>
          </w:p>
          <w:p w14:paraId="5F4F162E" w14:textId="2E86951E" w:rsidR="0075728B" w:rsidRPr="002E0AC1"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2E0AC1">
              <w:rPr>
                <w:rFonts w:asciiTheme="minorHAnsi" w:eastAsiaTheme="minorHAnsi" w:hAnsiTheme="minorHAnsi" w:cstheme="minorHAnsi"/>
                <w:b/>
                <w:i/>
                <w:sz w:val="22"/>
                <w:szCs w:val="22"/>
                <w:lang w:eastAsia="en-US"/>
              </w:rPr>
              <w:t>„Art. 68zh ust. 12. Dyrektor TDT jako organ nadzoru rynku może nałożyć na stronę, która złożyła wniosek o przeprowadzenie dowodu z opinii eksperta, obowiązek wpłacenia zaliczki na poczet wydatków eksperta w terminie 7 dni od dnia nałożenia tego obowiązku. W przypadku niewpłacenia przez stronę zaliczki, Dyrektor TDT jako organ nadzoru rynku ponosi koszty wynagrodzenia eksperta, którego wysokość zostanie określona w decyzji stwierdzającej niezgodność pojazdu, przedmiotu wyposażenia lub części.”</w:t>
            </w:r>
          </w:p>
          <w:p w14:paraId="63221AF0" w14:textId="2E705456" w:rsidR="0075728B" w:rsidRPr="002E0AC1" w:rsidRDefault="0075728B"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p>
          <w:p w14:paraId="1A5C168F" w14:textId="0AB1748B" w:rsidR="0075728B" w:rsidRPr="00406B1F" w:rsidRDefault="0075728B" w:rsidP="0042202B">
            <w:pPr>
              <w:rPr>
                <w:rFonts w:cstheme="minorHAnsi"/>
                <w:b/>
              </w:rPr>
            </w:pPr>
            <w:r w:rsidRPr="006146B4">
              <w:rPr>
                <w:rFonts w:cstheme="minorHAnsi"/>
                <w:b/>
              </w:rPr>
              <w:t xml:space="preserve">Dodatkowo art. 68zh został uzupełniony m.in. o procedurę powoływania ekspertów przez Dyrektora TDT, wymagań, które eksperci muszą spełniać, wysokość wynagrodzenia im przysługującego, a także procedurę współpracy Dyrektora TDT z ekspertami przy sporządzaniu opinii. </w:t>
            </w:r>
          </w:p>
        </w:tc>
        <w:tc>
          <w:tcPr>
            <w:tcW w:w="3686" w:type="dxa"/>
          </w:tcPr>
          <w:p w14:paraId="23E11955" w14:textId="77777777" w:rsidR="0075728B" w:rsidRDefault="0075728B" w:rsidP="0042202B">
            <w:pPr>
              <w:rPr>
                <w:rFonts w:cstheme="minorHAnsi"/>
                <w:b/>
              </w:rPr>
            </w:pPr>
            <w:r>
              <w:rPr>
                <w:rFonts w:cstheme="minorHAnsi"/>
                <w:b/>
              </w:rPr>
              <w:t xml:space="preserve">Jak pkt 92 </w:t>
            </w:r>
          </w:p>
          <w:p w14:paraId="405CD55D" w14:textId="77777777" w:rsidR="00F96EBD" w:rsidRDefault="00F96EBD" w:rsidP="0042202B">
            <w:pPr>
              <w:rPr>
                <w:rFonts w:cstheme="minorHAnsi"/>
                <w:b/>
              </w:rPr>
            </w:pPr>
          </w:p>
          <w:p w14:paraId="4A54CA23" w14:textId="77777777" w:rsidR="00104748" w:rsidRPr="00104748" w:rsidRDefault="00104748" w:rsidP="00104748">
            <w:pPr>
              <w:rPr>
                <w:rFonts w:cstheme="minorHAnsi"/>
                <w:b/>
                <w:color w:val="0070C0"/>
                <w:u w:val="single"/>
              </w:rPr>
            </w:pPr>
            <w:r w:rsidRPr="00F96EBD">
              <w:rPr>
                <w:rFonts w:cstheme="minorHAnsi"/>
                <w:b/>
                <w:color w:val="0070C0"/>
              </w:rPr>
              <w:t>Wprowadzono zmiany w</w:t>
            </w:r>
            <w:r>
              <w:rPr>
                <w:rFonts w:cstheme="minorHAnsi"/>
                <w:b/>
                <w:color w:val="0070C0"/>
              </w:rPr>
              <w:t xml:space="preserve"> </w:t>
            </w:r>
            <w:r w:rsidRPr="00F96EBD">
              <w:rPr>
                <w:rFonts w:cstheme="minorHAnsi"/>
                <w:b/>
                <w:color w:val="0070C0"/>
              </w:rPr>
              <w:t>art. 71s</w:t>
            </w:r>
            <w:r>
              <w:rPr>
                <w:rFonts w:cstheme="minorHAnsi"/>
                <w:b/>
                <w:color w:val="0070C0"/>
              </w:rPr>
              <w:t xml:space="preserve"> – </w:t>
            </w:r>
            <w:r w:rsidRPr="00104748">
              <w:rPr>
                <w:rFonts w:cstheme="minorHAnsi"/>
                <w:b/>
                <w:color w:val="0070C0"/>
                <w:u w:val="single"/>
              </w:rPr>
              <w:t xml:space="preserve">rozdzielono przepisy w zakresie egzekucji zgodnie z uwagą roboczą RCL: art. 68zzb, art. 70 ust. 11 i art. 71 ust. 10 oraz art. 71s. </w:t>
            </w:r>
          </w:p>
          <w:p w14:paraId="48932CC4" w14:textId="029FDFAE" w:rsidR="00F96EBD" w:rsidRDefault="00F96EBD" w:rsidP="0042202B">
            <w:pPr>
              <w:rPr>
                <w:rFonts w:cstheme="minorHAnsi"/>
                <w:b/>
              </w:rPr>
            </w:pPr>
          </w:p>
        </w:tc>
      </w:tr>
      <w:tr w:rsidR="0075728B" w:rsidRPr="00F515D6" w14:paraId="63712C72" w14:textId="51292D8C" w:rsidTr="00D76FE7">
        <w:tc>
          <w:tcPr>
            <w:tcW w:w="562" w:type="dxa"/>
          </w:tcPr>
          <w:p w14:paraId="1FC66C57" w14:textId="77777777" w:rsidR="0075728B" w:rsidRPr="00AF1AB8" w:rsidRDefault="0075728B" w:rsidP="0042202B">
            <w:pPr>
              <w:rPr>
                <w:rFonts w:cstheme="minorHAnsi"/>
                <w:b/>
              </w:rPr>
            </w:pPr>
            <w:r w:rsidRPr="00AF1AB8">
              <w:rPr>
                <w:rFonts w:cstheme="minorHAnsi"/>
                <w:b/>
              </w:rPr>
              <w:t>94</w:t>
            </w:r>
          </w:p>
        </w:tc>
        <w:tc>
          <w:tcPr>
            <w:tcW w:w="993" w:type="dxa"/>
          </w:tcPr>
          <w:p w14:paraId="1A371435" w14:textId="77777777" w:rsidR="0075728B" w:rsidRPr="00AF1AB8" w:rsidRDefault="0075728B" w:rsidP="0042202B">
            <w:pPr>
              <w:rPr>
                <w:rFonts w:cstheme="minorHAnsi"/>
                <w:b/>
              </w:rPr>
            </w:pPr>
            <w:r w:rsidRPr="00AF1AB8">
              <w:rPr>
                <w:rFonts w:cstheme="minorHAnsi"/>
                <w:b/>
              </w:rPr>
              <w:t>MFiG</w:t>
            </w:r>
          </w:p>
        </w:tc>
        <w:tc>
          <w:tcPr>
            <w:tcW w:w="1701" w:type="dxa"/>
          </w:tcPr>
          <w:p w14:paraId="4E0EFD7C" w14:textId="77777777" w:rsidR="0075728B" w:rsidRPr="00AF1AB8" w:rsidRDefault="0075728B" w:rsidP="0042202B">
            <w:pPr>
              <w:rPr>
                <w:rFonts w:cstheme="minorHAnsi"/>
                <w:b/>
              </w:rPr>
            </w:pPr>
            <w:r w:rsidRPr="00AF1AB8">
              <w:rPr>
                <w:rFonts w:cstheme="minorHAnsi"/>
                <w:b/>
              </w:rPr>
              <w:t>Art. 68zi ust. 33-35 UH</w:t>
            </w:r>
          </w:p>
        </w:tc>
        <w:tc>
          <w:tcPr>
            <w:tcW w:w="5953" w:type="dxa"/>
          </w:tcPr>
          <w:p w14:paraId="301F5BC9" w14:textId="77777777" w:rsidR="0075728B" w:rsidRPr="00AF1AB8" w:rsidRDefault="0075728B" w:rsidP="0042202B">
            <w:pPr>
              <w:pStyle w:val="TekstpismaMF"/>
              <w:spacing w:before="0" w:line="240" w:lineRule="auto"/>
              <w:rPr>
                <w:rFonts w:asciiTheme="minorHAnsi" w:hAnsiTheme="minorHAnsi" w:cstheme="minorHAnsi"/>
                <w:b/>
              </w:rPr>
            </w:pPr>
            <w:r w:rsidRPr="00AF1AB8">
              <w:rPr>
                <w:rFonts w:asciiTheme="minorHAnsi" w:hAnsiTheme="minorHAnsi" w:cstheme="minorHAnsi"/>
                <w:b/>
              </w:rPr>
              <w:t xml:space="preserve">Projektowane przepisy art. 68zi ust. 33-35 ustawy o s.h.p. przewidują dochodzenie w trybie egzekucji administracyjnej kwot stanowiących równowartość kosztów utylizacji pojazdu oraz kwoty stanowiącej równowartość zwrotu zapłaty za zwracany pojazd, przedmiot wyposażenia lub część, jeżeli została wydana decyzja, o której mowa w art. 53b ust. 1,2 pkt 3 i ust. 3 ustawy o s.h.p. </w:t>
            </w:r>
          </w:p>
          <w:p w14:paraId="3E10EA6A" w14:textId="77777777" w:rsidR="0075728B" w:rsidRPr="00AF1AB8" w:rsidRDefault="0075728B" w:rsidP="0042202B">
            <w:pPr>
              <w:pStyle w:val="TekstpismaMF"/>
              <w:spacing w:before="0" w:line="240" w:lineRule="auto"/>
              <w:rPr>
                <w:rFonts w:asciiTheme="minorHAnsi" w:hAnsiTheme="minorHAnsi" w:cstheme="minorHAnsi"/>
                <w:b/>
              </w:rPr>
            </w:pPr>
            <w:r w:rsidRPr="00AF1AB8">
              <w:rPr>
                <w:rFonts w:asciiTheme="minorHAnsi" w:hAnsiTheme="minorHAnsi" w:cstheme="minorHAnsi"/>
                <w:b/>
              </w:rPr>
              <w:t>Zaproponowane przepisy są niewystarczające do tego, aby wskazane w nich należności podlegały egzekucji na podstawie przepisów ustawy o postępowaniu egzekucyjnym w administracji. Wyjaśnienia wymaga, w jaki sposób wymierzane będą kwoty w ww. projektowanych artykułach oraz jaki dokument będzie stanowił podstawę do wystawienia tytułu wykonawczego w celu skierowania do administracyjnego organu egzekucyjnego. W celu umożliwienia ich dochodzenia w trybie egzekucji administracyjnej, spełnione muszą być warunki określone w art. 2 § 1, art. 3 § 1 lub art. 4 ustawy o postępowaniu egzekucyjnym w administracji, tj. obowiązek winien mieścić się w katalogu obowiązków wymienionych w art. 2 § 1 tej ustawy oraz wynikać z decyzji lub postanowienia właściwego organu</w:t>
            </w:r>
            <w:r w:rsidRPr="00AF1AB8">
              <w:rPr>
                <w:rFonts w:asciiTheme="minorHAnsi" w:hAnsiTheme="minorHAnsi" w:cstheme="minorHAnsi"/>
                <w:b/>
                <w:bCs/>
              </w:rPr>
              <w:t xml:space="preserve"> </w:t>
            </w:r>
            <w:r w:rsidRPr="00AF1AB8">
              <w:rPr>
                <w:rFonts w:asciiTheme="minorHAnsi" w:hAnsiTheme="minorHAnsi" w:cstheme="minorHAnsi"/>
                <w:b/>
              </w:rPr>
              <w:t>(jak np. decyzja o zwrocie kosztów utylizacji), albo w zakresie administracji rządowej i jednostek samorządu terytorialnego – bezpośrednio z przepisów prawa. Do obowiązków, które wynikają z decyzji, postanowień lub innych orzeczeń, stosuje się egzekucję administracyjną tylko wówczas, gdy odrębne ustawy tak stanowią. Określić należy także termin płatności tej należności, aby po bezskutecznym jego upływie możliwe było skierowanie na drogę postępowania egzekucyjnego w administracji. W świetle powyższego wymienione przepisy nie zapewnią możliwości egzekwowania wskazanych w nich należności, brak bowiem w projekcie ustawy przepisów dotyczących wydawania decyzji ustalającej ich wysokość.</w:t>
            </w:r>
          </w:p>
          <w:p w14:paraId="29FDA76C" w14:textId="77777777" w:rsidR="0075728B" w:rsidRPr="00AF1AB8" w:rsidRDefault="0075728B" w:rsidP="0042202B">
            <w:pPr>
              <w:pStyle w:val="TekstpismaMF"/>
              <w:spacing w:before="0" w:line="240" w:lineRule="auto"/>
              <w:rPr>
                <w:rFonts w:asciiTheme="minorHAnsi" w:hAnsiTheme="minorHAnsi" w:cstheme="minorHAnsi"/>
                <w:b/>
              </w:rPr>
            </w:pPr>
            <w:r w:rsidRPr="00AF1AB8">
              <w:rPr>
                <w:rFonts w:asciiTheme="minorHAnsi" w:hAnsiTheme="minorHAnsi" w:cstheme="minorHAnsi"/>
                <w:b/>
              </w:rPr>
              <w:t>Proponuję uzupełnienie przepisów np. o:</w:t>
            </w:r>
          </w:p>
          <w:p w14:paraId="030C9595" w14:textId="77777777" w:rsidR="0075728B" w:rsidRPr="00AF1AB8" w:rsidRDefault="0075728B" w:rsidP="0042202B">
            <w:pPr>
              <w:autoSpaceDE w:val="0"/>
              <w:autoSpaceDN w:val="0"/>
              <w:adjustRightInd w:val="0"/>
              <w:rPr>
                <w:rFonts w:cstheme="minorHAnsi"/>
                <w:b/>
              </w:rPr>
            </w:pPr>
            <w:r w:rsidRPr="00AF1AB8">
              <w:rPr>
                <w:rFonts w:cstheme="minorHAnsi"/>
                <w:b/>
              </w:rPr>
              <w:t>- termin przedawnienia należności, czy ulega on zawieszeniu bądź przerwaniu – jeżeli tak to na skutek jakich zdarzeń,</w:t>
            </w:r>
          </w:p>
          <w:p w14:paraId="14D32336" w14:textId="17085FB3" w:rsidR="0075728B" w:rsidRPr="00AF1AB8" w:rsidRDefault="0075728B" w:rsidP="0042202B">
            <w:pPr>
              <w:autoSpaceDE w:val="0"/>
              <w:autoSpaceDN w:val="0"/>
              <w:adjustRightInd w:val="0"/>
              <w:rPr>
                <w:rFonts w:cstheme="minorHAnsi"/>
                <w:b/>
              </w:rPr>
            </w:pPr>
            <w:r w:rsidRPr="00AF1AB8">
              <w:rPr>
                <w:rFonts w:cstheme="minorHAnsi"/>
                <w:b/>
              </w:rPr>
              <w:t>- kwestie naliczania odsetek od dochodzonych należności tj. ich rodzaju, a także terminu, od kiedy są naliczane.</w:t>
            </w:r>
          </w:p>
        </w:tc>
        <w:tc>
          <w:tcPr>
            <w:tcW w:w="3827" w:type="dxa"/>
          </w:tcPr>
          <w:p w14:paraId="1068B973" w14:textId="77777777" w:rsidR="0075728B" w:rsidRPr="00AF1AB8" w:rsidRDefault="0075728B" w:rsidP="0042202B">
            <w:pPr>
              <w:rPr>
                <w:rFonts w:cstheme="minorHAnsi"/>
                <w:b/>
              </w:rPr>
            </w:pPr>
            <w:r w:rsidRPr="00AF1AB8">
              <w:rPr>
                <w:rFonts w:cstheme="minorHAnsi"/>
                <w:b/>
              </w:rPr>
              <w:t>Uwaga uwzględniona – zmieniono przepisy w art. 68zi:</w:t>
            </w:r>
          </w:p>
          <w:p w14:paraId="71E66DB8" w14:textId="7A7AD03C" w:rsidR="0075728B" w:rsidRPr="00F75F3B"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bookmarkStart w:id="60" w:name="_Hlk224322225"/>
            <w:r w:rsidRPr="00F75F3B">
              <w:rPr>
                <w:rFonts w:asciiTheme="minorHAnsi" w:eastAsiaTheme="minorHAnsi" w:hAnsiTheme="minorHAnsi" w:cstheme="minorHAnsi"/>
                <w:b/>
                <w:i/>
                <w:sz w:val="22"/>
                <w:szCs w:val="22"/>
                <w:lang w:eastAsia="en-US"/>
              </w:rPr>
              <w:t>„33. Po bezskutecznym upływie terminu, o którym mowa w ust. 30, Dyrektor TDT w drodze decyzji, nakłada na podmiot gospodarczy obowiązek zwrotu zapłaty za zwracany pojazd, przedmiot wyposażenia lub część oraz określa wysokość kosztów, o których mowa w ust. 32 oraz sposób i termin ich uiszczenia. Roszczenie o zwrot przedawnia się po upływie 10 lat od dnia, w którym decyzja stała się ostateczna. W przypadku nieuiszczenia w terminie zwrotu zapłaty za zwracany pojazd, przedmiot wyposażenia lub część, kwota stanowiąca równowartość zwrotu zapłaty za zwracany pojazd, przedmiot wyposażenia lub część podlega ściągnięciu na podstawie przepisów o postępowaniu egzekucyjnym w administracji.</w:t>
            </w:r>
          </w:p>
          <w:p w14:paraId="300C156B" w14:textId="245F5EC8" w:rsidR="0075728B" w:rsidRPr="00F75F3B"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F75F3B">
              <w:rPr>
                <w:rFonts w:asciiTheme="minorHAnsi" w:eastAsiaTheme="minorHAnsi" w:hAnsiTheme="minorHAnsi" w:cstheme="minorHAnsi"/>
                <w:b/>
                <w:i/>
                <w:sz w:val="22"/>
                <w:szCs w:val="22"/>
                <w:lang w:eastAsia="en-US"/>
              </w:rPr>
              <w:t>34. Dyrektor TDT w drodze decyzji, nakłada na podmiot gospodarczy obowiązek zwrotu kosztów zniszczenia pojazdu, przedmiotu wyposażenia lub części oraz określa wysokość tych kosztów oraz sposób i termin ich uiszczenia. Roszczenie o zwrot przedawnia się po upływie 10 lat od dnia, w którym decyzja stała się ostateczna. Kwota stanowiąca równowartość kosztów zniszczenia pojazdu, przedmiotu wyposażenia lub części podlega ściągnięciu na podstawie przepisów o postępowaniu egzekucyjnym w administracji.”</w:t>
            </w:r>
          </w:p>
          <w:bookmarkEnd w:id="60"/>
          <w:p w14:paraId="02FA9D4C" w14:textId="2FE7FD1F" w:rsidR="0075728B" w:rsidRPr="00F75F3B" w:rsidRDefault="0075728B" w:rsidP="0042202B">
            <w:pPr>
              <w:pStyle w:val="ZUSTzmustartykuempunktem"/>
              <w:spacing w:line="240" w:lineRule="auto"/>
              <w:ind w:left="0" w:firstLine="0"/>
              <w:jc w:val="left"/>
              <w:rPr>
                <w:rFonts w:asciiTheme="minorHAnsi" w:eastAsiaTheme="minorHAnsi" w:hAnsiTheme="minorHAnsi" w:cstheme="minorHAnsi"/>
                <w:b/>
                <w:sz w:val="22"/>
                <w:szCs w:val="22"/>
                <w:lang w:eastAsia="en-US"/>
              </w:rPr>
            </w:pPr>
          </w:p>
        </w:tc>
        <w:tc>
          <w:tcPr>
            <w:tcW w:w="3686" w:type="dxa"/>
          </w:tcPr>
          <w:p w14:paraId="6FE86EFE" w14:textId="1AB3058E" w:rsidR="0075728B" w:rsidRDefault="0075728B" w:rsidP="0042202B">
            <w:pPr>
              <w:rPr>
                <w:rFonts w:cstheme="minorHAnsi"/>
                <w:b/>
              </w:rPr>
            </w:pPr>
            <w:r>
              <w:rPr>
                <w:rFonts w:cstheme="minorHAnsi"/>
                <w:b/>
              </w:rPr>
              <w:t>Jak pkt 92</w:t>
            </w:r>
          </w:p>
          <w:p w14:paraId="60E8D008" w14:textId="77777777" w:rsidR="00104748" w:rsidRDefault="00104748" w:rsidP="0042202B">
            <w:pPr>
              <w:rPr>
                <w:rFonts w:cstheme="minorHAnsi"/>
                <w:b/>
              </w:rPr>
            </w:pPr>
          </w:p>
          <w:p w14:paraId="4B446A68" w14:textId="77777777" w:rsidR="00104748" w:rsidRPr="00104748" w:rsidRDefault="00104748" w:rsidP="00104748">
            <w:pPr>
              <w:rPr>
                <w:rFonts w:cstheme="minorHAnsi"/>
                <w:b/>
                <w:color w:val="0070C0"/>
                <w:u w:val="single"/>
              </w:rPr>
            </w:pPr>
            <w:r w:rsidRPr="00F96EBD">
              <w:rPr>
                <w:rFonts w:cstheme="minorHAnsi"/>
                <w:b/>
                <w:color w:val="0070C0"/>
              </w:rPr>
              <w:t>Wprowadzono zmiany w</w:t>
            </w:r>
            <w:r>
              <w:rPr>
                <w:rFonts w:cstheme="minorHAnsi"/>
                <w:b/>
                <w:color w:val="0070C0"/>
              </w:rPr>
              <w:t xml:space="preserve"> </w:t>
            </w:r>
            <w:r w:rsidRPr="00F96EBD">
              <w:rPr>
                <w:rFonts w:cstheme="minorHAnsi"/>
                <w:b/>
                <w:color w:val="0070C0"/>
              </w:rPr>
              <w:t>art. 71s</w:t>
            </w:r>
            <w:r>
              <w:rPr>
                <w:rFonts w:cstheme="minorHAnsi"/>
                <w:b/>
                <w:color w:val="0070C0"/>
              </w:rPr>
              <w:t xml:space="preserve"> – </w:t>
            </w:r>
            <w:r w:rsidRPr="00104748">
              <w:rPr>
                <w:rFonts w:cstheme="minorHAnsi"/>
                <w:b/>
                <w:color w:val="0070C0"/>
                <w:u w:val="single"/>
              </w:rPr>
              <w:t xml:space="preserve">rozdzielono przepisy w zakresie egzekucji zgodnie z uwagą roboczą RCL: art. 68zzb, art. 70 ust. 11 i art. 71 ust. 10 oraz art. 71s. </w:t>
            </w:r>
          </w:p>
          <w:p w14:paraId="33C5459A" w14:textId="31DB75D6" w:rsidR="00F96EBD" w:rsidRPr="00AF1AB8" w:rsidRDefault="00F96EBD" w:rsidP="0042202B">
            <w:pPr>
              <w:rPr>
                <w:rFonts w:cstheme="minorHAnsi"/>
                <w:b/>
              </w:rPr>
            </w:pPr>
          </w:p>
        </w:tc>
      </w:tr>
      <w:tr w:rsidR="0075728B" w:rsidRPr="00F515D6" w14:paraId="2FE1098B" w14:textId="320BF472" w:rsidTr="00D76FE7">
        <w:tc>
          <w:tcPr>
            <w:tcW w:w="562" w:type="dxa"/>
          </w:tcPr>
          <w:p w14:paraId="07C30855" w14:textId="77777777" w:rsidR="0075728B" w:rsidRPr="00AA6BBB" w:rsidRDefault="0075728B" w:rsidP="0042202B">
            <w:pPr>
              <w:rPr>
                <w:rFonts w:cstheme="minorHAnsi"/>
                <w:b/>
              </w:rPr>
            </w:pPr>
            <w:r w:rsidRPr="00AA6BBB">
              <w:rPr>
                <w:rFonts w:cstheme="minorHAnsi"/>
                <w:b/>
              </w:rPr>
              <w:t>95</w:t>
            </w:r>
          </w:p>
        </w:tc>
        <w:tc>
          <w:tcPr>
            <w:tcW w:w="993" w:type="dxa"/>
          </w:tcPr>
          <w:p w14:paraId="6023531C" w14:textId="77777777" w:rsidR="0075728B" w:rsidRPr="00AA6BBB" w:rsidRDefault="0075728B" w:rsidP="0042202B">
            <w:pPr>
              <w:rPr>
                <w:rFonts w:cstheme="minorHAnsi"/>
                <w:b/>
              </w:rPr>
            </w:pPr>
            <w:r w:rsidRPr="00AA6BBB">
              <w:rPr>
                <w:rFonts w:cstheme="minorHAnsi"/>
                <w:b/>
              </w:rPr>
              <w:t>MFiG</w:t>
            </w:r>
          </w:p>
        </w:tc>
        <w:tc>
          <w:tcPr>
            <w:tcW w:w="1701" w:type="dxa"/>
          </w:tcPr>
          <w:p w14:paraId="463835C8" w14:textId="77777777" w:rsidR="0075728B" w:rsidRPr="00AA6BBB" w:rsidRDefault="0075728B" w:rsidP="0042202B">
            <w:pPr>
              <w:rPr>
                <w:rFonts w:cstheme="minorHAnsi"/>
                <w:b/>
              </w:rPr>
            </w:pPr>
            <w:r w:rsidRPr="00AA6BBB">
              <w:rPr>
                <w:rFonts w:cstheme="minorHAnsi"/>
                <w:b/>
              </w:rPr>
              <w:t>Art. 68zj ust. 13, art. 68zk ust. 9, art. 70 ust. 6 oraz art. 71 ust 7  UH</w:t>
            </w:r>
          </w:p>
        </w:tc>
        <w:tc>
          <w:tcPr>
            <w:tcW w:w="5953" w:type="dxa"/>
          </w:tcPr>
          <w:p w14:paraId="757426F9" w14:textId="77777777" w:rsidR="0075728B" w:rsidRPr="003B41DA" w:rsidRDefault="0075728B" w:rsidP="0042202B">
            <w:pPr>
              <w:autoSpaceDE w:val="0"/>
              <w:autoSpaceDN w:val="0"/>
              <w:adjustRightInd w:val="0"/>
              <w:rPr>
                <w:rFonts w:cstheme="minorHAnsi"/>
              </w:rPr>
            </w:pPr>
            <w:r w:rsidRPr="00AA6BBB">
              <w:rPr>
                <w:rFonts w:cstheme="minorHAnsi"/>
                <w:b/>
              </w:rPr>
              <w:t>Analogiczna uwaga dotyczy projektowanych art</w:t>
            </w:r>
            <w:r w:rsidRPr="003B41DA">
              <w:rPr>
                <w:rFonts w:cstheme="minorHAnsi"/>
                <w:b/>
              </w:rPr>
              <w:t>. 68zj ust. 13, art. 68zk ust. 9</w:t>
            </w:r>
            <w:r w:rsidRPr="003B41DA">
              <w:rPr>
                <w:rFonts w:cstheme="minorHAnsi"/>
              </w:rPr>
              <w:t xml:space="preserve">, </w:t>
            </w:r>
            <w:r w:rsidRPr="003B41DA">
              <w:rPr>
                <w:rFonts w:cstheme="minorHAnsi"/>
                <w:b/>
              </w:rPr>
              <w:t>art. 70 ust. 6 oraz art. 71 ust 7 ustawy o s.h.p.</w:t>
            </w:r>
          </w:p>
          <w:p w14:paraId="04081F30" w14:textId="77777777" w:rsidR="0075728B" w:rsidRPr="00F515D6" w:rsidRDefault="0075728B" w:rsidP="0042202B">
            <w:pPr>
              <w:rPr>
                <w:rFonts w:cstheme="minorHAnsi"/>
              </w:rPr>
            </w:pPr>
          </w:p>
        </w:tc>
        <w:tc>
          <w:tcPr>
            <w:tcW w:w="3827" w:type="dxa"/>
          </w:tcPr>
          <w:p w14:paraId="36F4B8EF" w14:textId="0297CB05" w:rsidR="0075728B" w:rsidRPr="001A3981" w:rsidRDefault="0075728B" w:rsidP="0042202B">
            <w:pPr>
              <w:rPr>
                <w:rFonts w:eastAsiaTheme="minorEastAsia" w:cstheme="minorHAnsi"/>
                <w:b/>
                <w:lang w:eastAsia="pl-PL"/>
              </w:rPr>
            </w:pPr>
            <w:r w:rsidRPr="001A3981">
              <w:rPr>
                <w:rFonts w:eastAsiaTheme="minorEastAsia" w:cstheme="minorHAnsi"/>
                <w:b/>
                <w:lang w:eastAsia="pl-PL"/>
              </w:rPr>
              <w:t xml:space="preserve">Uwaga uwzględniona – zmiana przepisów. </w:t>
            </w:r>
          </w:p>
          <w:p w14:paraId="6C3567EC" w14:textId="216618B2" w:rsidR="0075728B" w:rsidRPr="00F75F3B" w:rsidRDefault="0075728B" w:rsidP="0042202B">
            <w:pPr>
              <w:pStyle w:val="ZUSTzmustartykuempunktem"/>
              <w:spacing w:line="240" w:lineRule="auto"/>
              <w:ind w:left="0" w:firstLine="0"/>
              <w:jc w:val="left"/>
              <w:rPr>
                <w:rFonts w:asciiTheme="minorHAnsi" w:hAnsiTheme="minorHAnsi" w:cstheme="minorHAnsi"/>
                <w:b/>
                <w:i/>
                <w:sz w:val="22"/>
                <w:szCs w:val="22"/>
              </w:rPr>
            </w:pPr>
            <w:r w:rsidRPr="00F75F3B">
              <w:rPr>
                <w:rFonts w:asciiTheme="minorHAnsi" w:hAnsiTheme="minorHAnsi" w:cstheme="minorHAnsi"/>
                <w:b/>
                <w:i/>
                <w:sz w:val="22"/>
                <w:szCs w:val="22"/>
              </w:rPr>
              <w:t>„Art. 68zj ust. 14. Dyrektor TDT jako organu nadzoru rynku  określa, w drodze decyzji, wysokość  kosztów zniszczenia pojazdu, przedmiotu wyposażenia lub części oraz sposób i termin ich uiszczenia.  Roszczenie o zwrot przedawnia się po upływie 10 lat od dnia, w którym decyzja stała się ostateczna. Kwota stanowiąca równowartość kosztów zniszczenia pojazdu, przedmiotu wyposażenia lub części podlega ściągnięciu na podstawie przepisów o postępowaniu egzekucyjnym w administracji.”</w:t>
            </w:r>
          </w:p>
          <w:p w14:paraId="5F062FAC" w14:textId="77777777" w:rsidR="0075728B" w:rsidRDefault="0075728B" w:rsidP="0042202B">
            <w:pPr>
              <w:pStyle w:val="ZUSTzmustartykuempunktem"/>
              <w:spacing w:line="240" w:lineRule="auto"/>
              <w:ind w:left="0" w:firstLine="0"/>
              <w:jc w:val="left"/>
              <w:rPr>
                <w:rFonts w:asciiTheme="minorHAnsi" w:hAnsiTheme="minorHAnsi" w:cstheme="minorHAnsi"/>
                <w:b/>
                <w:i/>
                <w:sz w:val="22"/>
                <w:szCs w:val="22"/>
              </w:rPr>
            </w:pPr>
          </w:p>
          <w:p w14:paraId="04539006" w14:textId="3A10C056" w:rsidR="0075728B" w:rsidRPr="00F75F3B" w:rsidRDefault="0075728B" w:rsidP="0042202B">
            <w:pPr>
              <w:pStyle w:val="ZUSTzmustartykuempunktem"/>
              <w:spacing w:line="240" w:lineRule="auto"/>
              <w:ind w:left="0" w:firstLine="0"/>
              <w:jc w:val="left"/>
              <w:rPr>
                <w:rFonts w:asciiTheme="minorHAnsi" w:hAnsiTheme="minorHAnsi" w:cstheme="minorHAnsi"/>
                <w:b/>
                <w:i/>
                <w:sz w:val="22"/>
                <w:szCs w:val="22"/>
              </w:rPr>
            </w:pPr>
            <w:r w:rsidRPr="003B41DA">
              <w:rPr>
                <w:rFonts w:asciiTheme="minorHAnsi" w:hAnsiTheme="minorHAnsi" w:cstheme="minorHAnsi"/>
                <w:b/>
                <w:i/>
                <w:sz w:val="22"/>
                <w:szCs w:val="22"/>
              </w:rPr>
              <w:t>„Art. 68zk ust. 12</w:t>
            </w:r>
            <w:bookmarkStart w:id="61" w:name="_Hlk225260410"/>
            <w:r>
              <w:rPr>
                <w:rFonts w:asciiTheme="minorHAnsi" w:hAnsiTheme="minorHAnsi" w:cstheme="minorHAnsi"/>
                <w:b/>
                <w:i/>
                <w:sz w:val="22"/>
                <w:szCs w:val="22"/>
              </w:rPr>
              <w:t xml:space="preserve"> </w:t>
            </w:r>
            <w:r w:rsidRPr="00F75F3B">
              <w:rPr>
                <w:rFonts w:asciiTheme="minorHAnsi" w:hAnsiTheme="minorHAnsi" w:cstheme="minorHAnsi"/>
                <w:b/>
                <w:i/>
                <w:sz w:val="22"/>
                <w:szCs w:val="22"/>
              </w:rPr>
              <w:t>W celu dokonania kontroli poprawności złożenia informacji oraz wyliczenia wysokości opłaty za nadzór rynku motoryzacyjnego, Dyrektor TDT jako organ nadzoru rynku może przeprowadzić kontrole u podmiotów, o których mowa w ust. 2 oraz u operatorów platform, o których mowa w ust. 8. Kontrola może być przeprowadzana nie częściej niż raz na 2 lata.</w:t>
            </w:r>
          </w:p>
          <w:p w14:paraId="14C8D833" w14:textId="77777777" w:rsidR="0075728B" w:rsidRPr="00F75F3B" w:rsidRDefault="0075728B" w:rsidP="0042202B">
            <w:pPr>
              <w:pStyle w:val="ZUSTzmustartykuempunktem"/>
              <w:spacing w:line="240" w:lineRule="auto"/>
              <w:ind w:left="0" w:firstLine="0"/>
              <w:jc w:val="left"/>
              <w:rPr>
                <w:rFonts w:asciiTheme="minorHAnsi" w:hAnsiTheme="minorHAnsi" w:cstheme="minorHAnsi"/>
                <w:b/>
                <w:i/>
                <w:sz w:val="22"/>
                <w:szCs w:val="22"/>
              </w:rPr>
            </w:pPr>
            <w:r w:rsidRPr="00F75F3B">
              <w:rPr>
                <w:rFonts w:asciiTheme="minorHAnsi" w:hAnsiTheme="minorHAnsi" w:cstheme="minorHAnsi"/>
                <w:b/>
                <w:i/>
                <w:sz w:val="22"/>
                <w:szCs w:val="22"/>
              </w:rPr>
              <w:t>13. W przypadku stwierdzenia przez Dyrektora TDT nieprawidłowości w ramach kontroli, o której mowa w ust. 12, Dyrektor TDT jako organ nadzoru rynku wydaje decyzję administracyjną ustalającą prawidłową wysokość opłaty za nadzór rynku motoryzacyjnego.</w:t>
            </w:r>
          </w:p>
          <w:p w14:paraId="781AE1D5" w14:textId="77777777" w:rsidR="0075728B" w:rsidRPr="00F75F3B" w:rsidRDefault="0075728B" w:rsidP="0042202B">
            <w:pPr>
              <w:rPr>
                <w:rFonts w:eastAsiaTheme="minorEastAsia" w:cstheme="minorHAnsi"/>
                <w:b/>
                <w:i/>
                <w:lang w:eastAsia="pl-PL"/>
              </w:rPr>
            </w:pPr>
            <w:r w:rsidRPr="00F75F3B">
              <w:rPr>
                <w:rFonts w:eastAsiaTheme="minorEastAsia" w:cstheme="minorHAnsi"/>
                <w:b/>
                <w:i/>
                <w:lang w:eastAsia="pl-PL"/>
              </w:rPr>
              <w:t>14. Podmioty, o których mowa w ust. 2, oraz operatorzy platform, o których mowa w ust. 8, są obowiązani przechowywać złożone informacje przez okres 5 lat, licząc od początku roku następującego po roku obrotowym, w którym informacja została przedłożona Dyrektorowi TDT jako organowi nadzoru rynku oraz okazywać je na wezwanie Dyrektora TDT jako organu nadzoru rynku w celu dokonania kontroli poprawności złożenia informacji. Dyrektor TDT jako organ nadzoru rynku może żądać również okazania faktur VAT lub rachunków, na podstawie których wypełnione zostały informacje.</w:t>
            </w:r>
          </w:p>
          <w:p w14:paraId="207F365D" w14:textId="65C3B380" w:rsidR="0075728B" w:rsidRPr="003B41DA" w:rsidRDefault="0075728B" w:rsidP="0042202B">
            <w:pPr>
              <w:pStyle w:val="ZARTzmartartykuempunktem"/>
              <w:spacing w:line="240" w:lineRule="auto"/>
              <w:ind w:left="0" w:firstLine="0"/>
              <w:jc w:val="left"/>
              <w:rPr>
                <w:rFonts w:asciiTheme="minorHAnsi" w:hAnsiTheme="minorHAnsi" w:cstheme="minorHAnsi"/>
                <w:b/>
                <w:i/>
                <w:sz w:val="22"/>
                <w:szCs w:val="22"/>
              </w:rPr>
            </w:pPr>
            <w:r w:rsidRPr="00F75F3B">
              <w:rPr>
                <w:rFonts w:asciiTheme="minorHAnsi" w:hAnsiTheme="minorHAnsi" w:cstheme="minorHAnsi"/>
                <w:b/>
                <w:i/>
                <w:sz w:val="22"/>
                <w:szCs w:val="22"/>
              </w:rPr>
              <w:t>15. Egzekucja opłaty za nadzór rynku motoryzacyjnego wraz z odsetkami następuje w trybie przepisów o postępowaniu egzekucyjnym w administracji.</w:t>
            </w:r>
            <w:r>
              <w:rPr>
                <w:rFonts w:asciiTheme="minorHAnsi" w:hAnsiTheme="minorHAnsi" w:cstheme="minorHAnsi"/>
                <w:b/>
                <w:i/>
                <w:sz w:val="22"/>
                <w:szCs w:val="22"/>
              </w:rPr>
              <w:t>”</w:t>
            </w:r>
          </w:p>
          <w:bookmarkEnd w:id="61"/>
          <w:p w14:paraId="26C969C3" w14:textId="77777777" w:rsidR="0075728B" w:rsidRDefault="0075728B" w:rsidP="0042202B">
            <w:pPr>
              <w:pStyle w:val="ZUSTzmustartykuempunktem"/>
              <w:spacing w:line="240" w:lineRule="auto"/>
              <w:ind w:left="0" w:firstLine="0"/>
              <w:jc w:val="left"/>
              <w:rPr>
                <w:rFonts w:asciiTheme="minorHAnsi" w:hAnsiTheme="minorHAnsi" w:cstheme="minorHAnsi"/>
                <w:b/>
                <w:i/>
                <w:sz w:val="22"/>
                <w:szCs w:val="22"/>
              </w:rPr>
            </w:pPr>
          </w:p>
          <w:p w14:paraId="0339CCC6" w14:textId="00FBAF11" w:rsidR="0075728B" w:rsidRPr="00E0296B" w:rsidRDefault="0075728B" w:rsidP="0042202B">
            <w:pPr>
              <w:pStyle w:val="ZUSTzmustartykuempunktem"/>
              <w:spacing w:line="240" w:lineRule="auto"/>
              <w:ind w:left="0" w:firstLine="0"/>
              <w:jc w:val="left"/>
              <w:rPr>
                <w:rFonts w:asciiTheme="minorHAnsi" w:hAnsiTheme="minorHAnsi" w:cstheme="minorHAnsi"/>
                <w:b/>
                <w:i/>
                <w:sz w:val="22"/>
                <w:szCs w:val="22"/>
              </w:rPr>
            </w:pPr>
            <w:r w:rsidRPr="00E0296B">
              <w:rPr>
                <w:rFonts w:asciiTheme="minorHAnsi" w:hAnsiTheme="minorHAnsi" w:cstheme="minorHAnsi"/>
                <w:b/>
                <w:i/>
                <w:sz w:val="22"/>
                <w:szCs w:val="22"/>
              </w:rPr>
              <w:t>„Art. 70 ust. 8. Dyrektor TDT</w:t>
            </w:r>
            <w:r>
              <w:rPr>
                <w:rFonts w:asciiTheme="minorHAnsi" w:hAnsiTheme="minorHAnsi" w:cstheme="minorHAnsi"/>
                <w:b/>
                <w:i/>
                <w:sz w:val="22"/>
                <w:szCs w:val="22"/>
              </w:rPr>
              <w:t xml:space="preserve"> jako organ nadzoru rynku</w:t>
            </w:r>
            <w:r w:rsidRPr="00E0296B">
              <w:rPr>
                <w:rFonts w:asciiTheme="minorHAnsi" w:hAnsiTheme="minorHAnsi" w:cstheme="minorHAnsi"/>
                <w:b/>
                <w:i/>
                <w:sz w:val="22"/>
                <w:szCs w:val="22"/>
              </w:rPr>
              <w:t>,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5B71794E" w14:textId="77777777" w:rsidR="0075728B" w:rsidRPr="00E0296B" w:rsidRDefault="0075728B" w:rsidP="0042202B">
            <w:pPr>
              <w:pStyle w:val="ZUSTzmustartykuempunktem"/>
              <w:spacing w:line="240" w:lineRule="auto"/>
              <w:ind w:left="0" w:firstLine="0"/>
              <w:jc w:val="left"/>
              <w:rPr>
                <w:rFonts w:asciiTheme="minorHAnsi" w:hAnsiTheme="minorHAnsi" w:cstheme="minorHAnsi"/>
                <w:b/>
                <w:i/>
                <w:sz w:val="22"/>
                <w:szCs w:val="22"/>
              </w:rPr>
            </w:pPr>
            <w:r w:rsidRPr="00E0296B">
              <w:rPr>
                <w:rFonts w:asciiTheme="minorHAnsi" w:hAnsiTheme="minorHAnsi" w:cstheme="minorHAnsi"/>
                <w:b/>
                <w:i/>
                <w:sz w:val="22"/>
                <w:szCs w:val="22"/>
              </w:rPr>
              <w:t>9. Wysokość opłaty za powiadomienie każdego użytkownika końcowego nie może przekroczyć 0,22% wysokości przeciętnego wynagrodzenia, o którym mowa w art. 68g ust. 4, od każdego powiadomienia.</w:t>
            </w:r>
          </w:p>
          <w:p w14:paraId="2B479A14" w14:textId="4FCFD46B" w:rsidR="0075728B" w:rsidRDefault="0075728B" w:rsidP="0042202B">
            <w:pPr>
              <w:pStyle w:val="ZUSTzmustartykuempunktem"/>
              <w:spacing w:line="240" w:lineRule="auto"/>
              <w:ind w:left="0" w:firstLine="0"/>
              <w:jc w:val="left"/>
              <w:rPr>
                <w:rFonts w:asciiTheme="minorHAnsi" w:hAnsiTheme="minorHAnsi" w:cstheme="minorHAnsi"/>
                <w:b/>
                <w:i/>
                <w:sz w:val="22"/>
                <w:szCs w:val="22"/>
              </w:rPr>
            </w:pPr>
            <w:r w:rsidRPr="00E0296B">
              <w:rPr>
                <w:rFonts w:asciiTheme="minorHAnsi" w:hAnsiTheme="minorHAnsi" w:cstheme="minorHAnsi"/>
                <w:b/>
                <w:i/>
                <w:sz w:val="22"/>
                <w:szCs w:val="22"/>
              </w:rPr>
              <w:t>10. W przypadku nieuiszczenia opłaty w terminie określonym w decyzji, o której mowa w ust. 8, podlega ona ściągnięciu w trybie przepisów o postępowaniu egzekucyjnym w administracji.”</w:t>
            </w:r>
          </w:p>
          <w:p w14:paraId="1ACF6FC3" w14:textId="1A01636E" w:rsidR="0075728B" w:rsidRPr="00E0296B" w:rsidRDefault="0075728B" w:rsidP="0042202B">
            <w:pPr>
              <w:pStyle w:val="ZUSTzmustartykuempunktem"/>
              <w:spacing w:line="240" w:lineRule="auto"/>
              <w:ind w:left="0" w:firstLine="0"/>
              <w:jc w:val="left"/>
              <w:rPr>
                <w:rFonts w:asciiTheme="minorHAnsi" w:hAnsiTheme="minorHAnsi" w:cstheme="minorHAnsi"/>
                <w:b/>
                <w:i/>
                <w:sz w:val="22"/>
                <w:szCs w:val="22"/>
              </w:rPr>
            </w:pPr>
            <w:r>
              <w:rPr>
                <w:rFonts w:asciiTheme="minorHAnsi" w:hAnsiTheme="minorHAnsi" w:cstheme="minorHAnsi"/>
                <w:b/>
                <w:i/>
                <w:sz w:val="22"/>
                <w:szCs w:val="22"/>
              </w:rPr>
              <w:t xml:space="preserve">„Art. 71 ust. </w:t>
            </w:r>
            <w:r w:rsidRPr="00E0296B">
              <w:rPr>
                <w:rFonts w:asciiTheme="minorHAnsi" w:hAnsiTheme="minorHAnsi" w:cstheme="minorHAnsi"/>
                <w:b/>
                <w:i/>
                <w:sz w:val="22"/>
                <w:szCs w:val="22"/>
              </w:rPr>
              <w:t>8. Dyrektor TDT</w:t>
            </w:r>
            <w:r>
              <w:rPr>
                <w:rFonts w:asciiTheme="minorHAnsi" w:hAnsiTheme="minorHAnsi" w:cstheme="minorHAnsi"/>
                <w:b/>
                <w:i/>
                <w:sz w:val="22"/>
                <w:szCs w:val="22"/>
              </w:rPr>
              <w:t xml:space="preserve"> jako organ nadzoru rynku</w:t>
            </w:r>
            <w:r w:rsidRPr="00E0296B">
              <w:rPr>
                <w:rFonts w:asciiTheme="minorHAnsi" w:hAnsiTheme="minorHAnsi" w:cstheme="minorHAnsi"/>
                <w:b/>
                <w:i/>
                <w:sz w:val="22"/>
                <w:szCs w:val="22"/>
              </w:rPr>
              <w:t>,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p>
          <w:p w14:paraId="22FF4E9A" w14:textId="77777777" w:rsidR="0075728B" w:rsidRPr="00E0296B" w:rsidRDefault="0075728B" w:rsidP="0042202B">
            <w:pPr>
              <w:pStyle w:val="ZUSTzmustartykuempunktem"/>
              <w:spacing w:line="240" w:lineRule="auto"/>
              <w:ind w:left="0" w:firstLine="0"/>
              <w:jc w:val="left"/>
              <w:rPr>
                <w:rFonts w:asciiTheme="minorHAnsi" w:hAnsiTheme="minorHAnsi" w:cstheme="minorHAnsi"/>
                <w:b/>
                <w:i/>
                <w:sz w:val="22"/>
                <w:szCs w:val="22"/>
              </w:rPr>
            </w:pPr>
            <w:r w:rsidRPr="00E0296B">
              <w:rPr>
                <w:rFonts w:asciiTheme="minorHAnsi" w:hAnsiTheme="minorHAnsi" w:cstheme="minorHAnsi"/>
                <w:b/>
                <w:i/>
                <w:sz w:val="22"/>
                <w:szCs w:val="22"/>
              </w:rPr>
              <w:t>9. Wysokość opłaty za powiadomienie każdego użytkownika końcowego nie może przekroczyć 0,22% wysokości przeciętnego wynagrodzenia, o którym mowa w art. 68g ust. 4, od każdego powiadomienia.</w:t>
            </w:r>
          </w:p>
          <w:p w14:paraId="46A12A50" w14:textId="42504515" w:rsidR="0075728B" w:rsidRPr="002752C6" w:rsidRDefault="0075728B" w:rsidP="0042202B">
            <w:pPr>
              <w:pStyle w:val="ZUSTzmustartykuempunktem"/>
              <w:spacing w:line="240" w:lineRule="auto"/>
              <w:ind w:left="0" w:firstLine="0"/>
              <w:jc w:val="left"/>
              <w:rPr>
                <w:rFonts w:asciiTheme="minorHAnsi" w:hAnsiTheme="minorHAnsi" w:cstheme="minorHAnsi"/>
                <w:b/>
                <w:i/>
                <w:sz w:val="22"/>
                <w:szCs w:val="22"/>
              </w:rPr>
            </w:pPr>
            <w:r w:rsidRPr="00E0296B">
              <w:rPr>
                <w:rFonts w:asciiTheme="minorHAnsi" w:hAnsiTheme="minorHAnsi" w:cstheme="minorHAnsi"/>
                <w:b/>
                <w:i/>
                <w:sz w:val="22"/>
                <w:szCs w:val="22"/>
              </w:rPr>
              <w:t>10. W przypadku nieuiszczenia opłaty w terminie określonym w decyzji, o której mowa w ust. 8, podlega ona ściągnięciu w trybie przepisów o postępowaniu egzekucyjnym w administracji.</w:t>
            </w:r>
            <w:r>
              <w:rPr>
                <w:rFonts w:asciiTheme="minorHAnsi" w:hAnsiTheme="minorHAnsi" w:cstheme="minorHAnsi"/>
                <w:b/>
                <w:i/>
                <w:sz w:val="22"/>
                <w:szCs w:val="22"/>
              </w:rPr>
              <w:t>”</w:t>
            </w:r>
          </w:p>
        </w:tc>
        <w:tc>
          <w:tcPr>
            <w:tcW w:w="3686" w:type="dxa"/>
          </w:tcPr>
          <w:p w14:paraId="04C1D41E" w14:textId="3A2252A9" w:rsidR="0075728B" w:rsidRDefault="0075728B" w:rsidP="0042202B">
            <w:pPr>
              <w:rPr>
                <w:rFonts w:eastAsiaTheme="minorEastAsia" w:cstheme="minorHAnsi"/>
                <w:b/>
                <w:lang w:eastAsia="pl-PL"/>
              </w:rPr>
            </w:pPr>
            <w:r>
              <w:rPr>
                <w:rFonts w:eastAsiaTheme="minorEastAsia" w:cstheme="minorHAnsi"/>
                <w:b/>
                <w:lang w:eastAsia="pl-PL"/>
              </w:rPr>
              <w:t>Jak pkt 92</w:t>
            </w:r>
          </w:p>
          <w:p w14:paraId="51C9EE51" w14:textId="77777777" w:rsidR="00104748" w:rsidRDefault="00104748" w:rsidP="0042202B">
            <w:pPr>
              <w:rPr>
                <w:rFonts w:eastAsiaTheme="minorEastAsia" w:cstheme="minorHAnsi"/>
                <w:b/>
                <w:lang w:eastAsia="pl-PL"/>
              </w:rPr>
            </w:pPr>
          </w:p>
          <w:p w14:paraId="2FC881A5" w14:textId="77777777" w:rsidR="00104748" w:rsidRPr="00104748" w:rsidRDefault="00104748" w:rsidP="00104748">
            <w:pPr>
              <w:rPr>
                <w:rFonts w:cstheme="minorHAnsi"/>
                <w:b/>
                <w:color w:val="0070C0"/>
                <w:u w:val="single"/>
              </w:rPr>
            </w:pPr>
            <w:r w:rsidRPr="00F96EBD">
              <w:rPr>
                <w:rFonts w:cstheme="minorHAnsi"/>
                <w:b/>
                <w:color w:val="0070C0"/>
              </w:rPr>
              <w:t>Wprowadzono zmiany w</w:t>
            </w:r>
            <w:r>
              <w:rPr>
                <w:rFonts w:cstheme="minorHAnsi"/>
                <w:b/>
                <w:color w:val="0070C0"/>
              </w:rPr>
              <w:t xml:space="preserve"> </w:t>
            </w:r>
            <w:r w:rsidRPr="00F96EBD">
              <w:rPr>
                <w:rFonts w:cstheme="minorHAnsi"/>
                <w:b/>
                <w:color w:val="0070C0"/>
              </w:rPr>
              <w:t>art. 71s</w:t>
            </w:r>
            <w:r>
              <w:rPr>
                <w:rFonts w:cstheme="minorHAnsi"/>
                <w:b/>
                <w:color w:val="0070C0"/>
              </w:rPr>
              <w:t xml:space="preserve"> – </w:t>
            </w:r>
            <w:r w:rsidRPr="00104748">
              <w:rPr>
                <w:rFonts w:cstheme="minorHAnsi"/>
                <w:b/>
                <w:color w:val="0070C0"/>
                <w:u w:val="single"/>
              </w:rPr>
              <w:t xml:space="preserve">rozdzielono przepisy w zakresie egzekucji zgodnie z uwagą roboczą RCL: art. 68zzb, art. 70 ust. 11 i art. 71 ust. 10 oraz art. 71s. </w:t>
            </w:r>
          </w:p>
          <w:p w14:paraId="0FAD888B" w14:textId="5E81ACA1" w:rsidR="00F96EBD" w:rsidRPr="001A3981" w:rsidRDefault="00F96EBD" w:rsidP="0042202B">
            <w:pPr>
              <w:rPr>
                <w:rFonts w:eastAsiaTheme="minorEastAsia" w:cstheme="minorHAnsi"/>
                <w:b/>
                <w:lang w:eastAsia="pl-PL"/>
              </w:rPr>
            </w:pPr>
          </w:p>
        </w:tc>
      </w:tr>
      <w:tr w:rsidR="0075728B" w:rsidRPr="00F515D6" w14:paraId="30A38053" w14:textId="0F5BE8C8" w:rsidTr="00D76FE7">
        <w:tc>
          <w:tcPr>
            <w:tcW w:w="562" w:type="dxa"/>
          </w:tcPr>
          <w:p w14:paraId="6737E219" w14:textId="77777777" w:rsidR="0075728B" w:rsidRPr="00D702C0" w:rsidRDefault="0075728B" w:rsidP="0042202B">
            <w:pPr>
              <w:rPr>
                <w:rFonts w:cstheme="minorHAnsi"/>
                <w:b/>
              </w:rPr>
            </w:pPr>
            <w:r w:rsidRPr="00D702C0">
              <w:rPr>
                <w:rFonts w:cstheme="minorHAnsi"/>
                <w:b/>
              </w:rPr>
              <w:t>96</w:t>
            </w:r>
          </w:p>
        </w:tc>
        <w:tc>
          <w:tcPr>
            <w:tcW w:w="993" w:type="dxa"/>
          </w:tcPr>
          <w:p w14:paraId="241E1C9E" w14:textId="77777777" w:rsidR="0075728B" w:rsidRDefault="0075728B" w:rsidP="0042202B">
            <w:pPr>
              <w:rPr>
                <w:rFonts w:cstheme="minorHAnsi"/>
                <w:b/>
              </w:rPr>
            </w:pPr>
            <w:r w:rsidRPr="00D702C0">
              <w:rPr>
                <w:rFonts w:cstheme="minorHAnsi"/>
                <w:b/>
              </w:rPr>
              <w:t>MFiG</w:t>
            </w:r>
          </w:p>
          <w:p w14:paraId="761CA167" w14:textId="2C899245" w:rsidR="0075728B" w:rsidRDefault="0075728B" w:rsidP="0042202B">
            <w:pPr>
              <w:rPr>
                <w:rFonts w:cstheme="minorHAnsi"/>
                <w:b/>
                <w:color w:val="00B050"/>
              </w:rPr>
            </w:pPr>
            <w:r>
              <w:rPr>
                <w:rFonts w:cstheme="minorHAnsi"/>
                <w:b/>
                <w:color w:val="00B050"/>
              </w:rPr>
              <w:t>+ uwaga 97-99 MFiG</w:t>
            </w:r>
          </w:p>
          <w:p w14:paraId="2B27F9FD" w14:textId="77777777" w:rsidR="0075728B" w:rsidRDefault="0075728B" w:rsidP="0042202B">
            <w:pPr>
              <w:rPr>
                <w:rFonts w:cstheme="minorHAnsi"/>
                <w:b/>
                <w:color w:val="00B050"/>
              </w:rPr>
            </w:pPr>
          </w:p>
          <w:p w14:paraId="5A98074E" w14:textId="77777777" w:rsidR="0075728B" w:rsidRDefault="0075728B" w:rsidP="0042202B">
            <w:pPr>
              <w:rPr>
                <w:rFonts w:cstheme="minorHAnsi"/>
                <w:b/>
                <w:color w:val="00B050"/>
              </w:rPr>
            </w:pPr>
            <w:r>
              <w:rPr>
                <w:rFonts w:cstheme="minorHAnsi"/>
                <w:b/>
                <w:color w:val="00B050"/>
              </w:rPr>
              <w:t>+25 RCL</w:t>
            </w:r>
          </w:p>
          <w:p w14:paraId="319A3325" w14:textId="77777777" w:rsidR="0075728B" w:rsidRDefault="0075728B" w:rsidP="0042202B">
            <w:pPr>
              <w:rPr>
                <w:rFonts w:cstheme="minorHAnsi"/>
                <w:b/>
                <w:color w:val="00B050"/>
              </w:rPr>
            </w:pPr>
          </w:p>
          <w:p w14:paraId="65E9D9A8" w14:textId="0F7535AD" w:rsidR="0075728B" w:rsidRPr="00A06A21" w:rsidRDefault="0075728B" w:rsidP="0042202B">
            <w:pPr>
              <w:rPr>
                <w:rFonts w:cstheme="minorHAnsi"/>
                <w:b/>
                <w:color w:val="00B050"/>
              </w:rPr>
            </w:pPr>
            <w:r>
              <w:rPr>
                <w:rFonts w:cstheme="minorHAnsi"/>
                <w:b/>
                <w:color w:val="00B050"/>
              </w:rPr>
              <w:t>+129 MSZ</w:t>
            </w:r>
          </w:p>
        </w:tc>
        <w:tc>
          <w:tcPr>
            <w:tcW w:w="1701" w:type="dxa"/>
          </w:tcPr>
          <w:p w14:paraId="574FF68B" w14:textId="77777777" w:rsidR="0075728B" w:rsidRPr="00D702C0" w:rsidRDefault="0075728B" w:rsidP="0042202B">
            <w:pPr>
              <w:rPr>
                <w:rFonts w:cstheme="minorHAnsi"/>
                <w:b/>
              </w:rPr>
            </w:pPr>
            <w:r w:rsidRPr="00D702C0">
              <w:rPr>
                <w:rFonts w:cstheme="minorHAnsi"/>
                <w:b/>
              </w:rPr>
              <w:t>Art. 68zk ust. 8 i 10  UH</w:t>
            </w:r>
          </w:p>
        </w:tc>
        <w:tc>
          <w:tcPr>
            <w:tcW w:w="5953" w:type="dxa"/>
          </w:tcPr>
          <w:p w14:paraId="31B21DA5" w14:textId="77777777" w:rsidR="0075728B" w:rsidRPr="00D702C0" w:rsidRDefault="0075728B" w:rsidP="0042202B">
            <w:pPr>
              <w:autoSpaceDE w:val="0"/>
              <w:autoSpaceDN w:val="0"/>
              <w:adjustRightInd w:val="0"/>
              <w:rPr>
                <w:rFonts w:cstheme="minorHAnsi"/>
                <w:b/>
              </w:rPr>
            </w:pPr>
            <w:r w:rsidRPr="00D702C0">
              <w:rPr>
                <w:rFonts w:cstheme="minorHAnsi"/>
                <w:b/>
              </w:rPr>
              <w:t>Proponuję wprowadzenie regulacji prawnych umożliwiających egzekwowanie opłat za nadzór rynku motoryzacyjnego na podstawie informacji o wysokości tych opłat.</w:t>
            </w:r>
          </w:p>
          <w:p w14:paraId="1928130B" w14:textId="77777777" w:rsidR="0075728B" w:rsidRPr="00D702C0" w:rsidRDefault="0075728B" w:rsidP="0042202B">
            <w:pPr>
              <w:autoSpaceDE w:val="0"/>
              <w:autoSpaceDN w:val="0"/>
              <w:adjustRightInd w:val="0"/>
              <w:rPr>
                <w:rFonts w:cstheme="minorHAnsi"/>
                <w:b/>
              </w:rPr>
            </w:pPr>
            <w:r w:rsidRPr="00D702C0">
              <w:rPr>
                <w:rFonts w:cstheme="minorHAnsi"/>
                <w:b/>
              </w:rPr>
              <w:t>Zgodnie z projektowanym art. 68zk ust. 8  i 10 ustawy o s.h.p.:</w:t>
            </w:r>
          </w:p>
          <w:p w14:paraId="316F4724" w14:textId="77777777" w:rsidR="0075728B" w:rsidRPr="00D702C0" w:rsidRDefault="0075728B" w:rsidP="0042202B">
            <w:pPr>
              <w:autoSpaceDE w:val="0"/>
              <w:autoSpaceDN w:val="0"/>
              <w:adjustRightInd w:val="0"/>
              <w:rPr>
                <w:rFonts w:cstheme="minorHAnsi"/>
                <w:b/>
                <w:i/>
                <w:iCs/>
              </w:rPr>
            </w:pPr>
            <w:r w:rsidRPr="00D702C0">
              <w:rPr>
                <w:rFonts w:cstheme="minorHAnsi"/>
                <w:b/>
                <w:i/>
                <w:iCs/>
              </w:rPr>
              <w:t xml:space="preserve">8. Podmiot gospodarczy, o którym mowa w ust. 2 i 3, bez wezwania oblicza i wpłaca opłatę za nadzór rynku motoryzacyjnego, na rachunek Dyrektora TDT jako organu nadzoru rynku za okres kwartalny, w terminie do dwudziestego dnia roboczego miesiąca następującego po zakończeniu danego kwartału. </w:t>
            </w:r>
          </w:p>
          <w:p w14:paraId="1509081F" w14:textId="77777777" w:rsidR="0075728B" w:rsidRPr="00D702C0" w:rsidRDefault="0075728B" w:rsidP="0042202B">
            <w:pPr>
              <w:autoSpaceDE w:val="0"/>
              <w:autoSpaceDN w:val="0"/>
              <w:adjustRightInd w:val="0"/>
              <w:rPr>
                <w:rFonts w:cstheme="minorHAnsi"/>
                <w:b/>
                <w:i/>
                <w:iCs/>
              </w:rPr>
            </w:pPr>
            <w:r w:rsidRPr="00D702C0">
              <w:rPr>
                <w:rFonts w:cstheme="minorHAnsi"/>
                <w:b/>
                <w:i/>
                <w:iCs/>
              </w:rPr>
              <w:t xml:space="preserve">10. Podmiot gospodarczy, o którym mowa w ust. 2 i 3, przekazuje Dyrektorowi TDT jako organowi nadzoru rynku, w drodze elektronicznej przez stronę podmiotową Transportowego Dozoru Technicznego, kwartalne informacje </w:t>
            </w:r>
            <w:r w:rsidRPr="00D702C0">
              <w:rPr>
                <w:rFonts w:cstheme="minorHAnsi"/>
                <w:b/>
                <w:i/>
                <w:iCs/>
              </w:rPr>
              <w:br/>
              <w:t>o wysokości naliczonych opłat za nadzór rynku motoryzacyjnego, zgodnie  z wzorem opublikowanym na tej stronie.</w:t>
            </w:r>
          </w:p>
          <w:p w14:paraId="16895126" w14:textId="0A8D450D" w:rsidR="0075728B" w:rsidRPr="00D702C0" w:rsidRDefault="0075728B" w:rsidP="0042202B">
            <w:pPr>
              <w:autoSpaceDE w:val="0"/>
              <w:autoSpaceDN w:val="0"/>
              <w:adjustRightInd w:val="0"/>
              <w:rPr>
                <w:rFonts w:cstheme="minorHAnsi"/>
                <w:b/>
              </w:rPr>
            </w:pPr>
            <w:r w:rsidRPr="00D702C0">
              <w:rPr>
                <w:rFonts w:cstheme="minorHAnsi"/>
                <w:b/>
              </w:rPr>
              <w:t xml:space="preserve">Umożliwienie egzekwowania opłaty za nadzór rynku motoryzacyjnego na </w:t>
            </w:r>
            <w:r w:rsidRPr="003A5AAB">
              <w:rPr>
                <w:rFonts w:cstheme="minorHAnsi"/>
                <w:b/>
              </w:rPr>
              <w:t>podstawie informacji o wysokości naliczonych opłat za nadzór rynku motoryzacyjnego wymagałoby zmiany art. 3a § 1 ustawy o postępowaniu egzekucyjnym w administracji. Należałoby bowiem wskazać, że opłata ta będzie podlegała egzekucji administracyjnej, o ile będzie wynikała z</w:t>
            </w:r>
            <w:r w:rsidRPr="00D702C0">
              <w:rPr>
                <w:rFonts w:cstheme="minorHAnsi"/>
                <w:b/>
              </w:rPr>
              <w:t xml:space="preserve"> informacji o wysokości naliczonych opłat za nadzór rynku motoryzacyjnego. Przy czym w informacji tej musiałoby być zamieszczane pouczenie o tym, że będzie ona stanowiła podstawę do wystawienia tytułu wykonawczego, zgodnie z art. 3a § 2 pkt 1 in fine ustawy o postępowaniu egzekucyjnym w administracji.</w:t>
            </w:r>
          </w:p>
        </w:tc>
        <w:tc>
          <w:tcPr>
            <w:tcW w:w="3827" w:type="dxa"/>
          </w:tcPr>
          <w:p w14:paraId="2032D60F" w14:textId="7136159A" w:rsidR="0075728B" w:rsidRPr="002752C6" w:rsidRDefault="0075728B" w:rsidP="0042202B">
            <w:pPr>
              <w:rPr>
                <w:rFonts w:cstheme="minorHAnsi"/>
                <w:b/>
              </w:rPr>
            </w:pPr>
            <w:r w:rsidRPr="00D702C0">
              <w:rPr>
                <w:rFonts w:cstheme="minorHAnsi"/>
                <w:b/>
              </w:rPr>
              <w:t>Uwaga jest niezasadna. Egzekucja następuje w oparciu o decyzję administracyjną, o której mowa w art. 68zk</w:t>
            </w:r>
            <w:r>
              <w:rPr>
                <w:rFonts w:cstheme="minorHAnsi"/>
                <w:b/>
              </w:rPr>
              <w:t>: „</w:t>
            </w:r>
            <w:r w:rsidRPr="002752C6">
              <w:rPr>
                <w:rFonts w:cstheme="minorHAnsi"/>
                <w:b/>
                <w:i/>
              </w:rPr>
              <w:t>13. W przypadku stwierdzenia przez Dyrektora TDT nieprawidłowości w ramach kontroli, o której mowa w ust. 12, Dyrektor TDT jako organ nadzoru rynku wydaje decyzję administracyjną ustalającą prawidłową wysokość opłaty za nadzór rynku motoryzacyjnego.</w:t>
            </w:r>
            <w:r>
              <w:rPr>
                <w:rFonts w:cstheme="minorHAnsi"/>
                <w:b/>
                <w:i/>
              </w:rPr>
              <w:t>”</w:t>
            </w:r>
          </w:p>
          <w:p w14:paraId="2CFAE803" w14:textId="1F329818" w:rsidR="0075728B" w:rsidRPr="00D702C0" w:rsidRDefault="0075728B" w:rsidP="0042202B">
            <w:pPr>
              <w:rPr>
                <w:rFonts w:cstheme="minorHAnsi"/>
                <w:b/>
              </w:rPr>
            </w:pPr>
          </w:p>
        </w:tc>
        <w:tc>
          <w:tcPr>
            <w:tcW w:w="3686" w:type="dxa"/>
          </w:tcPr>
          <w:p w14:paraId="5C986675" w14:textId="77777777" w:rsidR="0075728B" w:rsidRDefault="0075728B" w:rsidP="0042202B">
            <w:pPr>
              <w:rPr>
                <w:rFonts w:cstheme="minorHAnsi"/>
                <w:b/>
              </w:rPr>
            </w:pPr>
            <w:r>
              <w:rPr>
                <w:rFonts w:cstheme="minorHAnsi"/>
                <w:b/>
              </w:rPr>
              <w:t xml:space="preserve">Jak pkt 92 </w:t>
            </w:r>
          </w:p>
          <w:p w14:paraId="396C2DC6" w14:textId="77777777" w:rsidR="00104748" w:rsidRDefault="00104748" w:rsidP="00104748">
            <w:pPr>
              <w:rPr>
                <w:rFonts w:eastAsiaTheme="minorEastAsia" w:cstheme="minorHAnsi"/>
                <w:b/>
                <w:lang w:eastAsia="pl-PL"/>
              </w:rPr>
            </w:pPr>
          </w:p>
          <w:p w14:paraId="0624CDB0" w14:textId="77777777" w:rsidR="00104748" w:rsidRPr="00104748" w:rsidRDefault="00104748" w:rsidP="00104748">
            <w:pPr>
              <w:rPr>
                <w:rFonts w:cstheme="minorHAnsi"/>
                <w:b/>
                <w:color w:val="0070C0"/>
                <w:u w:val="single"/>
              </w:rPr>
            </w:pPr>
            <w:r w:rsidRPr="00F96EBD">
              <w:rPr>
                <w:rFonts w:cstheme="minorHAnsi"/>
                <w:b/>
                <w:color w:val="0070C0"/>
              </w:rPr>
              <w:t>Wprowadzono zmiany w</w:t>
            </w:r>
            <w:r>
              <w:rPr>
                <w:rFonts w:cstheme="minorHAnsi"/>
                <w:b/>
                <w:color w:val="0070C0"/>
              </w:rPr>
              <w:t xml:space="preserve"> </w:t>
            </w:r>
            <w:r w:rsidRPr="00F96EBD">
              <w:rPr>
                <w:rFonts w:cstheme="minorHAnsi"/>
                <w:b/>
                <w:color w:val="0070C0"/>
              </w:rPr>
              <w:t>art. 71s</w:t>
            </w:r>
            <w:r>
              <w:rPr>
                <w:rFonts w:cstheme="minorHAnsi"/>
                <w:b/>
                <w:color w:val="0070C0"/>
              </w:rPr>
              <w:t xml:space="preserve"> – </w:t>
            </w:r>
            <w:r w:rsidRPr="00104748">
              <w:rPr>
                <w:rFonts w:cstheme="minorHAnsi"/>
                <w:b/>
                <w:color w:val="0070C0"/>
                <w:u w:val="single"/>
              </w:rPr>
              <w:t xml:space="preserve">rozdzielono przepisy w zakresie egzekucji zgodnie z uwagą roboczą RCL: art. 68zzb, art. 70 ust. 11 i art. 71 ust. 10 oraz art. 71s. </w:t>
            </w:r>
          </w:p>
          <w:p w14:paraId="53FE018B" w14:textId="4640A7A5" w:rsidR="00F96EBD" w:rsidRPr="00D702C0" w:rsidRDefault="00F96EBD" w:rsidP="0042202B">
            <w:pPr>
              <w:rPr>
                <w:rFonts w:cstheme="minorHAnsi"/>
                <w:b/>
              </w:rPr>
            </w:pPr>
          </w:p>
        </w:tc>
      </w:tr>
      <w:tr w:rsidR="0075728B" w:rsidRPr="00F515D6" w14:paraId="25298917" w14:textId="528E16E0" w:rsidTr="00D76FE7">
        <w:tc>
          <w:tcPr>
            <w:tcW w:w="562" w:type="dxa"/>
          </w:tcPr>
          <w:p w14:paraId="0B7EC3B3" w14:textId="77777777" w:rsidR="0075728B" w:rsidRPr="00577EDB" w:rsidRDefault="0075728B" w:rsidP="0042202B">
            <w:pPr>
              <w:rPr>
                <w:rFonts w:cstheme="minorHAnsi"/>
                <w:b/>
              </w:rPr>
            </w:pPr>
            <w:r w:rsidRPr="00577EDB">
              <w:rPr>
                <w:rFonts w:cstheme="minorHAnsi"/>
                <w:b/>
              </w:rPr>
              <w:t>97</w:t>
            </w:r>
          </w:p>
        </w:tc>
        <w:tc>
          <w:tcPr>
            <w:tcW w:w="993" w:type="dxa"/>
          </w:tcPr>
          <w:p w14:paraId="0AB5D67D" w14:textId="77777777" w:rsidR="0075728B" w:rsidRDefault="0075728B" w:rsidP="0042202B">
            <w:pPr>
              <w:rPr>
                <w:rFonts w:cstheme="minorHAnsi"/>
                <w:b/>
              </w:rPr>
            </w:pPr>
            <w:r w:rsidRPr="00D702C0">
              <w:rPr>
                <w:rFonts w:cstheme="minorHAnsi"/>
                <w:b/>
              </w:rPr>
              <w:t>MFiG</w:t>
            </w:r>
          </w:p>
          <w:p w14:paraId="7CF22251" w14:textId="102DEF70" w:rsidR="0075728B" w:rsidRDefault="0075728B" w:rsidP="0042202B">
            <w:pPr>
              <w:rPr>
                <w:rFonts w:cstheme="minorHAnsi"/>
                <w:b/>
                <w:color w:val="00B050"/>
              </w:rPr>
            </w:pPr>
            <w:r>
              <w:rPr>
                <w:rFonts w:cstheme="minorHAnsi"/>
                <w:b/>
                <w:color w:val="00B050"/>
              </w:rPr>
              <w:t>+ uwaga 96-99 MFiG</w:t>
            </w:r>
          </w:p>
          <w:p w14:paraId="701B845E" w14:textId="77777777" w:rsidR="0075728B" w:rsidRDefault="0075728B" w:rsidP="0042202B">
            <w:pPr>
              <w:rPr>
                <w:rFonts w:cstheme="minorHAnsi"/>
                <w:b/>
                <w:color w:val="00B050"/>
              </w:rPr>
            </w:pPr>
          </w:p>
          <w:p w14:paraId="6AB20F98" w14:textId="77777777" w:rsidR="0075728B" w:rsidRDefault="0075728B" w:rsidP="0042202B">
            <w:pPr>
              <w:rPr>
                <w:rFonts w:cstheme="minorHAnsi"/>
                <w:b/>
                <w:color w:val="00B050"/>
              </w:rPr>
            </w:pPr>
            <w:r>
              <w:rPr>
                <w:rFonts w:cstheme="minorHAnsi"/>
                <w:b/>
                <w:color w:val="00B050"/>
              </w:rPr>
              <w:t>+25 RCL</w:t>
            </w:r>
          </w:p>
          <w:p w14:paraId="4C0D2764" w14:textId="77777777" w:rsidR="0075728B" w:rsidRDefault="0075728B" w:rsidP="0042202B">
            <w:pPr>
              <w:rPr>
                <w:rFonts w:cstheme="minorHAnsi"/>
                <w:b/>
                <w:color w:val="00B050"/>
              </w:rPr>
            </w:pPr>
          </w:p>
          <w:p w14:paraId="192671D0" w14:textId="2FACF3C2" w:rsidR="0075728B" w:rsidRPr="00577EDB" w:rsidRDefault="0075728B" w:rsidP="0042202B">
            <w:pPr>
              <w:rPr>
                <w:rFonts w:cstheme="minorHAnsi"/>
                <w:b/>
              </w:rPr>
            </w:pPr>
            <w:r>
              <w:rPr>
                <w:rFonts w:cstheme="minorHAnsi"/>
                <w:b/>
                <w:color w:val="00B050"/>
              </w:rPr>
              <w:t>+129 MSZ</w:t>
            </w:r>
          </w:p>
        </w:tc>
        <w:tc>
          <w:tcPr>
            <w:tcW w:w="1701" w:type="dxa"/>
          </w:tcPr>
          <w:p w14:paraId="72E8EC7C" w14:textId="77777777" w:rsidR="0075728B" w:rsidRPr="00577EDB" w:rsidRDefault="0075728B" w:rsidP="0042202B">
            <w:pPr>
              <w:rPr>
                <w:rFonts w:cstheme="minorHAnsi"/>
                <w:b/>
              </w:rPr>
            </w:pPr>
            <w:r w:rsidRPr="00577EDB">
              <w:rPr>
                <w:rFonts w:cstheme="minorHAnsi"/>
                <w:b/>
              </w:rPr>
              <w:t>Art. 68zk ust. 5   UH</w:t>
            </w:r>
          </w:p>
        </w:tc>
        <w:tc>
          <w:tcPr>
            <w:tcW w:w="5953" w:type="dxa"/>
          </w:tcPr>
          <w:p w14:paraId="6CC54C87" w14:textId="121CB246" w:rsidR="0075728B" w:rsidRPr="00DE7804" w:rsidRDefault="0075728B" w:rsidP="0042202B">
            <w:pPr>
              <w:autoSpaceDE w:val="0"/>
              <w:autoSpaceDN w:val="0"/>
              <w:adjustRightInd w:val="0"/>
              <w:rPr>
                <w:rFonts w:cstheme="minorHAnsi"/>
                <w:b/>
              </w:rPr>
            </w:pPr>
            <w:r w:rsidRPr="00577EDB">
              <w:rPr>
                <w:rFonts w:cstheme="minorHAnsi"/>
                <w:b/>
              </w:rPr>
              <w:t>Projekt ustawy zakłada, iż podstawą finansowania nowych zadań TDT będą pobierane przez jednostkę opłaty z tytułu ich realizacji, a także nakładane kary administracyjne. Realizacja zadań TDT nie będzie wymagała zaangażowania środków budżetu państwa. Z projektowanego art. 68zk ust. 5 ustawy o s.h.p. oraz innych przepisów projektowanej regulacji nie wynika, czyim ostatecznie przychodem (dochodem) będą opłaty za nadzór rynku motoryzacyjnego. Wątpliwości budzi jednak zaproponowane brzmienie art. 68zk ust. 5 ustawy o s.h.p. (art. 1 pkt 10 projektu ustawy), zgodnie z którym opłata za nadzór rynku motoryzacyjnego nie stanowi przychodu Dyrektora TDT, o którym mowa w art. 55 ust. 2 w związku z art. 61 ust. 1 ustawy z dnia 21 grudnia 2000 r. o dozorze technicznym.  TDT prowadzi samodzielną gospodarkę finansową. Koszty działalności jednostki, w tym wynagrodzenia pracowników pokrywane są z uzyskiwanych przychodów. Podstawą gospodarki finansowej TDT jest roczny plan finansowy, którego projekt zatwierdza minister właściwy ds. transportu i przekazuje ministrowi właściwemu do spraw finansów publicznych w trybie określonym w przepisach  dotyczących prac nad projektem ustawy budżetowej (art. 61 ustawy o dozorze technicznym). Biorąc pod uwagę sposób finansowania TDT brak jest podstaw do tworzenia regulacji stanowiącej odstępstwo od ogólnych zasad odnoszących się do przychodów i kosztów realizowanych przez  państwową osobę prawną. Przywołany przepis powinien zostać usunięty.</w:t>
            </w:r>
          </w:p>
        </w:tc>
        <w:tc>
          <w:tcPr>
            <w:tcW w:w="3827" w:type="dxa"/>
          </w:tcPr>
          <w:p w14:paraId="470209CA" w14:textId="6BFE1191" w:rsidR="0075728B" w:rsidRPr="00406B1F" w:rsidRDefault="0075728B" w:rsidP="0042202B">
            <w:pPr>
              <w:rPr>
                <w:rFonts w:cstheme="minorHAnsi"/>
                <w:b/>
                <w:i/>
                <w:strike/>
              </w:rPr>
            </w:pPr>
            <w:r w:rsidRPr="00577EDB">
              <w:rPr>
                <w:rFonts w:cstheme="minorHAnsi"/>
                <w:b/>
              </w:rPr>
              <w:t>Uwaga uwzględniona – przepis usunięto</w:t>
            </w:r>
            <w:r>
              <w:rPr>
                <w:rFonts w:cstheme="minorHAnsi"/>
                <w:b/>
              </w:rPr>
              <w:t xml:space="preserve">. </w:t>
            </w:r>
          </w:p>
          <w:p w14:paraId="116CEA58" w14:textId="77777777" w:rsidR="0075728B" w:rsidRDefault="0075728B" w:rsidP="0042202B">
            <w:pPr>
              <w:rPr>
                <w:rFonts w:cstheme="minorHAnsi"/>
                <w:b/>
              </w:rPr>
            </w:pPr>
          </w:p>
          <w:p w14:paraId="1533139D" w14:textId="77777777" w:rsidR="0075728B" w:rsidRPr="000959EA" w:rsidRDefault="0075728B" w:rsidP="0042202B">
            <w:pPr>
              <w:pStyle w:val="ZARTzmartartykuempunktem"/>
              <w:spacing w:line="240" w:lineRule="auto"/>
              <w:ind w:left="0"/>
              <w:jc w:val="left"/>
              <w:rPr>
                <w:color w:val="FF0000"/>
              </w:rPr>
            </w:pPr>
          </w:p>
          <w:p w14:paraId="6815BE11" w14:textId="497E681D" w:rsidR="0075728B" w:rsidRPr="00577EDB" w:rsidRDefault="0075728B" w:rsidP="0042202B">
            <w:pPr>
              <w:rPr>
                <w:rFonts w:cstheme="minorHAnsi"/>
                <w:b/>
              </w:rPr>
            </w:pPr>
          </w:p>
        </w:tc>
        <w:tc>
          <w:tcPr>
            <w:tcW w:w="3686" w:type="dxa"/>
          </w:tcPr>
          <w:p w14:paraId="30106000" w14:textId="7C7F49E7" w:rsidR="0075728B" w:rsidRPr="00577EDB" w:rsidRDefault="0075728B" w:rsidP="0042202B">
            <w:pPr>
              <w:rPr>
                <w:rFonts w:cstheme="minorHAnsi"/>
                <w:b/>
              </w:rPr>
            </w:pPr>
            <w:r>
              <w:rPr>
                <w:rFonts w:cstheme="minorHAnsi"/>
                <w:b/>
              </w:rPr>
              <w:t xml:space="preserve">Akceptacja </w:t>
            </w:r>
          </w:p>
        </w:tc>
      </w:tr>
      <w:tr w:rsidR="0075728B" w:rsidRPr="00F515D6" w14:paraId="4E291091" w14:textId="7F3FA48E" w:rsidTr="00D76FE7">
        <w:tc>
          <w:tcPr>
            <w:tcW w:w="562" w:type="dxa"/>
          </w:tcPr>
          <w:p w14:paraId="457CF4F2" w14:textId="77777777" w:rsidR="0075728B" w:rsidRPr="00577EDB" w:rsidRDefault="0075728B" w:rsidP="0042202B">
            <w:pPr>
              <w:rPr>
                <w:rFonts w:cstheme="minorHAnsi"/>
                <w:b/>
              </w:rPr>
            </w:pPr>
            <w:r w:rsidRPr="00577EDB">
              <w:rPr>
                <w:rFonts w:cstheme="minorHAnsi"/>
                <w:b/>
              </w:rPr>
              <w:t>98</w:t>
            </w:r>
          </w:p>
        </w:tc>
        <w:tc>
          <w:tcPr>
            <w:tcW w:w="993" w:type="dxa"/>
          </w:tcPr>
          <w:p w14:paraId="55C98EE7" w14:textId="77777777" w:rsidR="0075728B" w:rsidRDefault="0075728B" w:rsidP="0042202B">
            <w:pPr>
              <w:rPr>
                <w:rFonts w:cstheme="minorHAnsi"/>
                <w:b/>
              </w:rPr>
            </w:pPr>
            <w:r w:rsidRPr="00D702C0">
              <w:rPr>
                <w:rFonts w:cstheme="minorHAnsi"/>
                <w:b/>
              </w:rPr>
              <w:t>MFiG</w:t>
            </w:r>
          </w:p>
          <w:p w14:paraId="307C1E3E" w14:textId="1C26E8C2" w:rsidR="0075728B" w:rsidRDefault="0075728B" w:rsidP="0042202B">
            <w:pPr>
              <w:rPr>
                <w:rFonts w:cstheme="minorHAnsi"/>
                <w:b/>
                <w:color w:val="00B050"/>
              </w:rPr>
            </w:pPr>
            <w:r>
              <w:rPr>
                <w:rFonts w:cstheme="minorHAnsi"/>
                <w:b/>
                <w:color w:val="00B050"/>
              </w:rPr>
              <w:t>+ uwaga 96-99 MFiG</w:t>
            </w:r>
          </w:p>
          <w:p w14:paraId="24A100B3" w14:textId="77777777" w:rsidR="0075728B" w:rsidRDefault="0075728B" w:rsidP="0042202B">
            <w:pPr>
              <w:rPr>
                <w:rFonts w:cstheme="minorHAnsi"/>
                <w:b/>
                <w:color w:val="00B050"/>
              </w:rPr>
            </w:pPr>
          </w:p>
          <w:p w14:paraId="4FA49424" w14:textId="77777777" w:rsidR="0075728B" w:rsidRDefault="0075728B" w:rsidP="0042202B">
            <w:pPr>
              <w:rPr>
                <w:rFonts w:cstheme="minorHAnsi"/>
                <w:b/>
                <w:color w:val="00B050"/>
              </w:rPr>
            </w:pPr>
            <w:r>
              <w:rPr>
                <w:rFonts w:cstheme="minorHAnsi"/>
                <w:b/>
                <w:color w:val="00B050"/>
              </w:rPr>
              <w:t>+25 RCL</w:t>
            </w:r>
          </w:p>
          <w:p w14:paraId="77D3FCFF" w14:textId="77777777" w:rsidR="0075728B" w:rsidRDefault="0075728B" w:rsidP="0042202B">
            <w:pPr>
              <w:rPr>
                <w:rFonts w:cstheme="minorHAnsi"/>
                <w:b/>
                <w:color w:val="00B050"/>
              </w:rPr>
            </w:pPr>
          </w:p>
          <w:p w14:paraId="65CDCD97" w14:textId="1A9DAD43" w:rsidR="0075728B" w:rsidRPr="00577EDB" w:rsidRDefault="0075728B" w:rsidP="0042202B">
            <w:pPr>
              <w:rPr>
                <w:rFonts w:cstheme="minorHAnsi"/>
                <w:b/>
              </w:rPr>
            </w:pPr>
            <w:r>
              <w:rPr>
                <w:rFonts w:cstheme="minorHAnsi"/>
                <w:b/>
                <w:color w:val="00B050"/>
              </w:rPr>
              <w:t>+129 MSZ</w:t>
            </w:r>
          </w:p>
        </w:tc>
        <w:tc>
          <w:tcPr>
            <w:tcW w:w="1701" w:type="dxa"/>
          </w:tcPr>
          <w:p w14:paraId="2355065B" w14:textId="77777777" w:rsidR="0075728B" w:rsidRPr="00577EDB" w:rsidRDefault="0075728B" w:rsidP="0042202B">
            <w:pPr>
              <w:rPr>
                <w:rFonts w:cstheme="minorHAnsi"/>
                <w:b/>
              </w:rPr>
            </w:pPr>
            <w:r w:rsidRPr="00577EDB">
              <w:rPr>
                <w:rFonts w:cstheme="minorHAnsi"/>
                <w:b/>
              </w:rPr>
              <w:t>Art. 68zk ust. 4  UH</w:t>
            </w:r>
          </w:p>
        </w:tc>
        <w:tc>
          <w:tcPr>
            <w:tcW w:w="5953" w:type="dxa"/>
          </w:tcPr>
          <w:p w14:paraId="1D786AF9" w14:textId="77777777" w:rsidR="0075728B" w:rsidRPr="00577EDB" w:rsidRDefault="0075728B" w:rsidP="0042202B">
            <w:pPr>
              <w:autoSpaceDE w:val="0"/>
              <w:autoSpaceDN w:val="0"/>
              <w:adjustRightInd w:val="0"/>
              <w:rPr>
                <w:rFonts w:cstheme="minorHAnsi"/>
                <w:b/>
              </w:rPr>
            </w:pPr>
            <w:r w:rsidRPr="00577EDB">
              <w:rPr>
                <w:rFonts w:cstheme="minorHAnsi"/>
                <w:b/>
              </w:rPr>
              <w:t>W projektowanym art. 68zk ust. 4 określono, że opłatę za nadzór rynku motoryzacyjnego przeznacza się na finansowanie funkcjonowania i działania Dyrektora TDT jako organu nadzoru rynku(…). Jednocześnie pozostałe nowe opłaty, wynikające z projektu ustawy, mają stanowić przychody Dyrektora TDT. Nie wyjaśniono dlaczego jedynie w przypadku opłaty za nadzór rynku motoryzacyjnego zaproponowano konstrukcję, z której wynika, że opłata ta nie stanowi przychodu Dyrektora TDT, o którym mowa w art. 55 ust 2 w zw. z art. 61 ust. 1 ustawy o dozorze technicznym.</w:t>
            </w:r>
          </w:p>
          <w:p w14:paraId="0FE18523" w14:textId="7971CAA7" w:rsidR="0075728B" w:rsidRPr="00577EDB" w:rsidRDefault="0075728B" w:rsidP="0042202B">
            <w:pPr>
              <w:autoSpaceDE w:val="0"/>
              <w:autoSpaceDN w:val="0"/>
              <w:adjustRightInd w:val="0"/>
              <w:rPr>
                <w:rFonts w:cstheme="minorHAnsi"/>
                <w:b/>
                <w:i/>
                <w:iCs/>
              </w:rPr>
            </w:pPr>
          </w:p>
        </w:tc>
        <w:tc>
          <w:tcPr>
            <w:tcW w:w="3827" w:type="dxa"/>
          </w:tcPr>
          <w:p w14:paraId="59BD4C68" w14:textId="7FC5BD40" w:rsidR="0075728B" w:rsidRPr="00577EDB" w:rsidRDefault="0075728B" w:rsidP="0042202B">
            <w:pPr>
              <w:rPr>
                <w:rFonts w:cstheme="minorHAnsi"/>
                <w:b/>
              </w:rPr>
            </w:pPr>
            <w:r w:rsidRPr="00577EDB">
              <w:rPr>
                <w:rFonts w:cstheme="minorHAnsi"/>
                <w:b/>
              </w:rPr>
              <w:t>Uwaga uwzględniona – przepis usunięto</w:t>
            </w:r>
            <w:r>
              <w:rPr>
                <w:rFonts w:cstheme="minorHAnsi"/>
                <w:b/>
              </w:rPr>
              <w:t xml:space="preserve">. </w:t>
            </w:r>
          </w:p>
        </w:tc>
        <w:tc>
          <w:tcPr>
            <w:tcW w:w="3686" w:type="dxa"/>
          </w:tcPr>
          <w:p w14:paraId="644EAEB1" w14:textId="77777777" w:rsidR="00D76FE7" w:rsidRPr="00595DEF" w:rsidRDefault="00D76FE7" w:rsidP="0042202B">
            <w:pPr>
              <w:autoSpaceDE w:val="0"/>
              <w:autoSpaceDN w:val="0"/>
              <w:adjustRightInd w:val="0"/>
              <w:rPr>
                <w:rFonts w:cstheme="minorHAnsi"/>
                <w:b/>
              </w:rPr>
            </w:pPr>
            <w:r w:rsidRPr="00595DEF">
              <w:rPr>
                <w:rFonts w:cstheme="minorHAnsi"/>
                <w:b/>
              </w:rPr>
              <w:t>Z projektu ustawy został usunięty projektowany dotychczasowy art. 68zk ust. 5UH, pozostawiając w dotychczasowym brzmieniu art. 68zk ust. 3 UH, zgodnie z którym opłatę za nadzór rynku motoryzacyjnego przeznacza się na</w:t>
            </w:r>
          </w:p>
          <w:p w14:paraId="38EAC7E9" w14:textId="77777777" w:rsidR="0075728B" w:rsidRDefault="00D76FE7" w:rsidP="0042202B">
            <w:pPr>
              <w:autoSpaceDE w:val="0"/>
              <w:autoSpaceDN w:val="0"/>
              <w:adjustRightInd w:val="0"/>
              <w:rPr>
                <w:rFonts w:cstheme="minorHAnsi"/>
                <w:b/>
              </w:rPr>
            </w:pPr>
            <w:r w:rsidRPr="00595DEF">
              <w:rPr>
                <w:rFonts w:cstheme="minorHAnsi"/>
                <w:b/>
              </w:rPr>
              <w:t>finansowanie funkcjonowania i działania Dyrektora TDT jako organu nadzoru rynku w zakresie określonym w art. 3 ust. 3. Z art. 68zk UH wprowadzającego opłatę za nadzór rynku motoryzacyjnego nie wynika jednak czyim ostatecznie przychodem (dochodem) będą te opłaty. W przypadku innych nowych opłat ustanawianych w tym projekcie ustawy</w:t>
            </w:r>
            <w:r>
              <w:rPr>
                <w:rFonts w:cstheme="minorHAnsi"/>
                <w:b/>
              </w:rPr>
              <w:t xml:space="preserve"> </w:t>
            </w:r>
            <w:r w:rsidRPr="00595DEF">
              <w:rPr>
                <w:rFonts w:cstheme="minorHAnsi"/>
                <w:b/>
              </w:rPr>
              <w:t>zostało to jednoznacznie określone (np. przychód TDT). Należałoby doprecyzować w tym zakresie projektowany art. 68zk UH.</w:t>
            </w:r>
          </w:p>
          <w:p w14:paraId="0E7FD47E" w14:textId="77777777" w:rsidR="00F96EBD" w:rsidRDefault="00F96EBD" w:rsidP="0042202B">
            <w:pPr>
              <w:autoSpaceDE w:val="0"/>
              <w:autoSpaceDN w:val="0"/>
              <w:adjustRightInd w:val="0"/>
              <w:rPr>
                <w:rFonts w:cstheme="minorHAnsi"/>
                <w:b/>
              </w:rPr>
            </w:pPr>
          </w:p>
          <w:p w14:paraId="4798E381" w14:textId="4B198D7B" w:rsidR="00F96EBD" w:rsidRPr="00577EDB" w:rsidRDefault="00F96EBD" w:rsidP="0042202B">
            <w:pPr>
              <w:autoSpaceDE w:val="0"/>
              <w:autoSpaceDN w:val="0"/>
              <w:adjustRightInd w:val="0"/>
              <w:rPr>
                <w:rFonts w:cstheme="minorHAnsi"/>
                <w:b/>
              </w:rPr>
            </w:pPr>
            <w:r w:rsidRPr="00F96EBD">
              <w:rPr>
                <w:rFonts w:cstheme="minorHAnsi"/>
                <w:b/>
                <w:color w:val="0070C0"/>
              </w:rPr>
              <w:t xml:space="preserve">Wprowadzono zmiany w art. </w:t>
            </w:r>
            <w:r>
              <w:rPr>
                <w:rFonts w:cstheme="minorHAnsi"/>
                <w:b/>
                <w:color w:val="0070C0"/>
              </w:rPr>
              <w:t xml:space="preserve">68zu ust. 3. </w:t>
            </w:r>
          </w:p>
        </w:tc>
      </w:tr>
      <w:tr w:rsidR="0075728B" w:rsidRPr="00F515D6" w14:paraId="4AE37A14" w14:textId="4F5CB8E2" w:rsidTr="00D76FE7">
        <w:tc>
          <w:tcPr>
            <w:tcW w:w="562" w:type="dxa"/>
          </w:tcPr>
          <w:p w14:paraId="186D5BE7" w14:textId="77777777" w:rsidR="0075728B" w:rsidRPr="00577EDB" w:rsidRDefault="0075728B" w:rsidP="0042202B">
            <w:pPr>
              <w:rPr>
                <w:rFonts w:cstheme="minorHAnsi"/>
                <w:b/>
              </w:rPr>
            </w:pPr>
            <w:r w:rsidRPr="00577EDB">
              <w:rPr>
                <w:rFonts w:cstheme="minorHAnsi"/>
                <w:b/>
              </w:rPr>
              <w:t>99</w:t>
            </w:r>
          </w:p>
        </w:tc>
        <w:tc>
          <w:tcPr>
            <w:tcW w:w="993" w:type="dxa"/>
          </w:tcPr>
          <w:p w14:paraId="182DC35A" w14:textId="77777777" w:rsidR="0075728B" w:rsidRDefault="0075728B" w:rsidP="0042202B">
            <w:pPr>
              <w:rPr>
                <w:rFonts w:cstheme="minorHAnsi"/>
                <w:b/>
              </w:rPr>
            </w:pPr>
            <w:r w:rsidRPr="00D702C0">
              <w:rPr>
                <w:rFonts w:cstheme="minorHAnsi"/>
                <w:b/>
              </w:rPr>
              <w:t>MFiG</w:t>
            </w:r>
          </w:p>
          <w:p w14:paraId="2EAC035A" w14:textId="77777777" w:rsidR="0075728B" w:rsidRDefault="0075728B" w:rsidP="0042202B">
            <w:pPr>
              <w:rPr>
                <w:rFonts w:cstheme="minorHAnsi"/>
                <w:b/>
                <w:color w:val="00B050"/>
              </w:rPr>
            </w:pPr>
            <w:r>
              <w:rPr>
                <w:rFonts w:cstheme="minorHAnsi"/>
                <w:b/>
                <w:color w:val="00B050"/>
              </w:rPr>
              <w:t>+ uwaga 97-99 MFiG</w:t>
            </w:r>
          </w:p>
          <w:p w14:paraId="18097242" w14:textId="77777777" w:rsidR="0075728B" w:rsidRDefault="0075728B" w:rsidP="0042202B">
            <w:pPr>
              <w:rPr>
                <w:rFonts w:cstheme="minorHAnsi"/>
                <w:b/>
                <w:color w:val="00B050"/>
              </w:rPr>
            </w:pPr>
          </w:p>
          <w:p w14:paraId="3D710A4B" w14:textId="77777777" w:rsidR="0075728B" w:rsidRDefault="0075728B" w:rsidP="0042202B">
            <w:pPr>
              <w:rPr>
                <w:rFonts w:cstheme="minorHAnsi"/>
                <w:b/>
                <w:color w:val="00B050"/>
              </w:rPr>
            </w:pPr>
            <w:r>
              <w:rPr>
                <w:rFonts w:cstheme="minorHAnsi"/>
                <w:b/>
                <w:color w:val="00B050"/>
              </w:rPr>
              <w:t>+25 RCL</w:t>
            </w:r>
          </w:p>
          <w:p w14:paraId="34A4C18E" w14:textId="77777777" w:rsidR="0075728B" w:rsidRDefault="0075728B" w:rsidP="0042202B">
            <w:pPr>
              <w:rPr>
                <w:rFonts w:cstheme="minorHAnsi"/>
                <w:b/>
                <w:color w:val="00B050"/>
              </w:rPr>
            </w:pPr>
          </w:p>
          <w:p w14:paraId="366B5C80" w14:textId="2FA2240D" w:rsidR="0075728B" w:rsidRPr="005E17D6" w:rsidRDefault="0075728B" w:rsidP="0042202B">
            <w:pPr>
              <w:rPr>
                <w:rFonts w:cstheme="minorHAnsi"/>
                <w:b/>
                <w:color w:val="00B050"/>
              </w:rPr>
            </w:pPr>
            <w:r>
              <w:rPr>
                <w:rFonts w:cstheme="minorHAnsi"/>
                <w:b/>
                <w:color w:val="00B050"/>
              </w:rPr>
              <w:t>+129 MSZ</w:t>
            </w:r>
          </w:p>
        </w:tc>
        <w:tc>
          <w:tcPr>
            <w:tcW w:w="1701" w:type="dxa"/>
          </w:tcPr>
          <w:p w14:paraId="4FC85B16" w14:textId="77777777" w:rsidR="0075728B" w:rsidRPr="00577EDB" w:rsidRDefault="0075728B" w:rsidP="0042202B">
            <w:pPr>
              <w:rPr>
                <w:rFonts w:cstheme="minorHAnsi"/>
                <w:b/>
              </w:rPr>
            </w:pPr>
            <w:r w:rsidRPr="00577EDB">
              <w:rPr>
                <w:rFonts w:cstheme="minorHAnsi"/>
                <w:b/>
              </w:rPr>
              <w:t xml:space="preserve">Art. 68zl i art. 7  UH  </w:t>
            </w:r>
          </w:p>
        </w:tc>
        <w:tc>
          <w:tcPr>
            <w:tcW w:w="5953" w:type="dxa"/>
          </w:tcPr>
          <w:p w14:paraId="4D53BB07" w14:textId="79027CC1" w:rsidR="0075728B" w:rsidRPr="00577EDB" w:rsidRDefault="0075728B" w:rsidP="0042202B">
            <w:pPr>
              <w:autoSpaceDE w:val="0"/>
              <w:autoSpaceDN w:val="0"/>
              <w:adjustRightInd w:val="0"/>
              <w:rPr>
                <w:rFonts w:cstheme="minorHAnsi"/>
                <w:b/>
              </w:rPr>
            </w:pPr>
            <w:r w:rsidRPr="00577EDB">
              <w:rPr>
                <w:rFonts w:cstheme="minorHAnsi"/>
                <w:b/>
              </w:rPr>
              <w:t>Dodatkowo, wobec licznych obowiązków nakładanych na Dyrektora TDT i oszacowanych z tego tytułu w OSR znacznych kosztów, niezrozumiałe jest przekazywanie przez Dyrektora TDT nadwyżki z opłaty za nadzór rynku motoryzacyjnego na rzecz Funduszu rozwoju przewozów autobusowych o charakterze użyteczności publicznej (nowo projektowany art. 68zl ustawy o s.h.p. – art. 1 pkt 10 projektu ustawy i art. 7 projektu ustawy). Nowa opłata zasilająca TDT powinna zapewniać finansowanie dodatkowych zadań jednostki. Zauważyć także należy, że w planie finansowym TDT ujętym w projekcie ustawy budżetowej na rok 2026 zakłada się ujemy wynik brutto i netto na poziomie (5 301 tys. zł). W związku z nowymi zadaniami jednostki wartość ta może ulec pogorszeniu. Wątpliwości budzi również sposób określenia nadwyżki opłaty. W projektowanym art. 68zl ust. 2 ustawy o s.h.p. określono, iż Dyrektor TDT przekazuje do ministra właściwego ds. transportu informację o wysokości nadwyżki do końca kwietnia następnego roku kalendarzowego, którego dotyczy nadwyżka. Brak jest jednak w projekcie ustawy regulacji precyzującej sposób w jaki zostanie ustalona nadwyżka opłaty (np. niższe koszty poniesione przez TDT w stosunku do wpływów z opłat).</w:t>
            </w:r>
          </w:p>
          <w:p w14:paraId="203AE4F8" w14:textId="6D588C12" w:rsidR="0075728B" w:rsidRPr="00577EDB" w:rsidRDefault="0075728B" w:rsidP="0042202B">
            <w:pPr>
              <w:autoSpaceDE w:val="0"/>
              <w:autoSpaceDN w:val="0"/>
              <w:adjustRightInd w:val="0"/>
              <w:rPr>
                <w:rFonts w:cstheme="minorHAnsi"/>
                <w:b/>
              </w:rPr>
            </w:pPr>
            <w:r w:rsidRPr="00577EDB">
              <w:rPr>
                <w:rFonts w:cstheme="minorHAnsi"/>
                <w:b/>
              </w:rPr>
              <w:t>Z uwagi na liczne źródła przychodów Funduszu rozwoju przewozów autobusowych o charakterze użyteczności publicznej określone w ustawie powołującej ten podmiot, nie znajduje uzasadnienia tworzenie podstawy do kolejnego zasilania Funduszu. Projektodawca nie przedstawia przy tym argumentów na rzecz zaproponowanego rozwiązania. Negatywnie opiniujemy przywołane przepisy, wprowadzone do projektu ustawy na obecnym etapie prac (propozycja nie była opiniowana na etapie wpisu projektu do Wykazu prac legislacyjnych i programowych Rady Ministrów).</w:t>
            </w:r>
          </w:p>
        </w:tc>
        <w:tc>
          <w:tcPr>
            <w:tcW w:w="3827" w:type="dxa"/>
          </w:tcPr>
          <w:p w14:paraId="0E6EC761" w14:textId="341A4463" w:rsidR="0075728B" w:rsidRPr="00577EDB" w:rsidRDefault="0075728B" w:rsidP="0042202B">
            <w:pPr>
              <w:rPr>
                <w:rFonts w:cstheme="minorHAnsi"/>
                <w:b/>
              </w:rPr>
            </w:pPr>
            <w:r w:rsidRPr="00577EDB">
              <w:rPr>
                <w:rFonts w:cstheme="minorHAnsi"/>
                <w:b/>
              </w:rPr>
              <w:t>Uwaga uwzględniona – wykreślono art. 68zl UH dotycz</w:t>
            </w:r>
            <w:r>
              <w:rPr>
                <w:rFonts w:cstheme="minorHAnsi"/>
                <w:b/>
              </w:rPr>
              <w:t>ący</w:t>
            </w:r>
            <w:r w:rsidRPr="00577EDB">
              <w:rPr>
                <w:rFonts w:cstheme="minorHAnsi"/>
                <w:b/>
              </w:rPr>
              <w:t xml:space="preserve"> przekazywania nadwyżki na Fundusz rozwoju przewozów autobusowych o charakterze użyteczności publicznej oraz art. 7 projektu wprowadzający zmiany w ustawie </w:t>
            </w:r>
            <w:r w:rsidRPr="00577EDB">
              <w:rPr>
                <w:b/>
              </w:rPr>
              <w:t xml:space="preserve"> z dnia 16 maja 2019 r. o Funduszu rozwoju przewozów autobusowych o charakterze użyteczności publicznej (Dz. U. z 2024 r. poz. 402 i 1572 oraz z 2025 r. poz. 303). </w:t>
            </w:r>
          </w:p>
        </w:tc>
        <w:tc>
          <w:tcPr>
            <w:tcW w:w="3686" w:type="dxa"/>
          </w:tcPr>
          <w:p w14:paraId="332D9AF5" w14:textId="737EBD01" w:rsidR="0075728B" w:rsidRPr="00577EDB" w:rsidRDefault="0075728B" w:rsidP="0042202B">
            <w:pPr>
              <w:rPr>
                <w:rFonts w:cstheme="minorHAnsi"/>
                <w:b/>
              </w:rPr>
            </w:pPr>
            <w:r>
              <w:rPr>
                <w:rFonts w:cstheme="minorHAnsi"/>
                <w:b/>
              </w:rPr>
              <w:t xml:space="preserve">Akceptacja </w:t>
            </w:r>
          </w:p>
        </w:tc>
      </w:tr>
      <w:tr w:rsidR="0075728B" w:rsidRPr="00F515D6" w14:paraId="07392750" w14:textId="779E6F35" w:rsidTr="00D76FE7">
        <w:tc>
          <w:tcPr>
            <w:tcW w:w="562" w:type="dxa"/>
          </w:tcPr>
          <w:p w14:paraId="13CF20B1" w14:textId="77777777" w:rsidR="0075728B" w:rsidRPr="00E51D85" w:rsidRDefault="0075728B" w:rsidP="0042202B">
            <w:pPr>
              <w:rPr>
                <w:rFonts w:cstheme="minorHAnsi"/>
                <w:b/>
              </w:rPr>
            </w:pPr>
            <w:r w:rsidRPr="00E51D85">
              <w:rPr>
                <w:rFonts w:cstheme="minorHAnsi"/>
                <w:b/>
              </w:rPr>
              <w:t>100</w:t>
            </w:r>
          </w:p>
        </w:tc>
        <w:tc>
          <w:tcPr>
            <w:tcW w:w="993" w:type="dxa"/>
          </w:tcPr>
          <w:p w14:paraId="0C25EE76" w14:textId="77777777" w:rsidR="0075728B" w:rsidRPr="00E51D85" w:rsidRDefault="0075728B" w:rsidP="0042202B">
            <w:pPr>
              <w:rPr>
                <w:rFonts w:cstheme="minorHAnsi"/>
                <w:b/>
              </w:rPr>
            </w:pPr>
            <w:r w:rsidRPr="00E51D85">
              <w:rPr>
                <w:rFonts w:cstheme="minorHAnsi"/>
                <w:b/>
              </w:rPr>
              <w:t>MFiG</w:t>
            </w:r>
          </w:p>
        </w:tc>
        <w:tc>
          <w:tcPr>
            <w:tcW w:w="1701" w:type="dxa"/>
          </w:tcPr>
          <w:p w14:paraId="2639D546" w14:textId="77777777" w:rsidR="0075728B" w:rsidRPr="00E51D85" w:rsidRDefault="0075728B" w:rsidP="0042202B">
            <w:pPr>
              <w:rPr>
                <w:rFonts w:cstheme="minorHAnsi"/>
                <w:b/>
              </w:rPr>
            </w:pPr>
            <w:r w:rsidRPr="00E51D85">
              <w:rPr>
                <w:rFonts w:cstheme="minorHAnsi"/>
                <w:b/>
              </w:rPr>
              <w:t>Art. 68zk ust. 16  UH</w:t>
            </w:r>
          </w:p>
        </w:tc>
        <w:tc>
          <w:tcPr>
            <w:tcW w:w="5953" w:type="dxa"/>
          </w:tcPr>
          <w:p w14:paraId="13B79EF2" w14:textId="77777777" w:rsidR="0075728B" w:rsidRPr="00E51D85" w:rsidRDefault="0075728B" w:rsidP="0042202B">
            <w:pPr>
              <w:autoSpaceDE w:val="0"/>
              <w:autoSpaceDN w:val="0"/>
              <w:adjustRightInd w:val="0"/>
              <w:rPr>
                <w:rFonts w:cstheme="minorHAnsi"/>
                <w:b/>
                <w:i/>
                <w:iCs/>
              </w:rPr>
            </w:pPr>
            <w:r w:rsidRPr="00E51D85">
              <w:rPr>
                <w:rFonts w:cstheme="minorHAnsi"/>
                <w:b/>
              </w:rPr>
              <w:t>Zgodnie z projektowanym art. 68zk ust. 16 ustawy o s.h.p.:</w:t>
            </w:r>
          </w:p>
          <w:p w14:paraId="2FA25D02" w14:textId="604B196D" w:rsidR="0075728B" w:rsidRPr="005C4679" w:rsidRDefault="0075728B" w:rsidP="0042202B">
            <w:pPr>
              <w:autoSpaceDE w:val="0"/>
              <w:autoSpaceDN w:val="0"/>
              <w:adjustRightInd w:val="0"/>
              <w:rPr>
                <w:rFonts w:cstheme="minorHAnsi"/>
                <w:b/>
                <w:i/>
                <w:iCs/>
              </w:rPr>
            </w:pPr>
            <w:r w:rsidRPr="00E51D85">
              <w:rPr>
                <w:rFonts w:cstheme="minorHAnsi"/>
                <w:b/>
                <w:i/>
                <w:iCs/>
              </w:rPr>
              <w:t xml:space="preserve">W celu dokonania kontroli poprawności złożenia informacji oraz wyliczenia wysokości opłaty za nadzór rynku motoryzacyjnego, Dyrektor TDT jako organ nadzoru rynku może przeprowadzić kontrole u podmiotów gospodarczych oraz u operatorów platform. Kontrola może być przeprowadzana nie częściej niż raz na 2 lata. </w:t>
            </w:r>
            <w:bookmarkStart w:id="62" w:name="_Hlk220057003"/>
            <w:r w:rsidRPr="00E51D85">
              <w:rPr>
                <w:rFonts w:cstheme="minorHAnsi"/>
                <w:b/>
              </w:rPr>
              <w:t xml:space="preserve">Jednakże brak jest przepisów, które w przypadku stwierdzenia przez Dyrektora TDT nieprawidłowości w toku kontroli, umożliwiłyby wydanie decyzji ustalającej prawidłową wysokość opłaty. </w:t>
            </w:r>
            <w:bookmarkEnd w:id="62"/>
          </w:p>
        </w:tc>
        <w:tc>
          <w:tcPr>
            <w:tcW w:w="3827" w:type="dxa"/>
          </w:tcPr>
          <w:p w14:paraId="6214C7A8" w14:textId="541D6699" w:rsidR="0075728B" w:rsidRPr="00406B1F" w:rsidRDefault="0075728B" w:rsidP="0042202B">
            <w:pPr>
              <w:rPr>
                <w:rFonts w:cstheme="minorHAnsi"/>
                <w:b/>
              </w:rPr>
            </w:pPr>
            <w:r w:rsidRPr="00406B1F">
              <w:rPr>
                <w:rFonts w:cstheme="minorHAnsi"/>
                <w:b/>
              </w:rPr>
              <w:t>Uwaga uwzględniona poprzez dodanie przepisu w tym zakresie</w:t>
            </w:r>
            <w:r>
              <w:rPr>
                <w:rFonts w:cstheme="minorHAnsi"/>
                <w:b/>
              </w:rPr>
              <w:t xml:space="preserve"> w art. 68zk</w:t>
            </w:r>
            <w:r w:rsidRPr="00406B1F">
              <w:rPr>
                <w:rFonts w:cstheme="minorHAnsi"/>
                <w:b/>
              </w:rPr>
              <w:t>:</w:t>
            </w:r>
          </w:p>
          <w:p w14:paraId="02D6D86B" w14:textId="5B5BC787" w:rsidR="0075728B" w:rsidRPr="00DE7804" w:rsidRDefault="0075728B" w:rsidP="0042202B">
            <w:pPr>
              <w:rPr>
                <w:rFonts w:cstheme="minorHAnsi"/>
                <w:b/>
                <w:i/>
              </w:rPr>
            </w:pPr>
            <w:r>
              <w:rPr>
                <w:rFonts w:cstheme="minorHAnsi"/>
                <w:b/>
                <w:i/>
              </w:rPr>
              <w:t xml:space="preserve">„13. W </w:t>
            </w:r>
            <w:r w:rsidRPr="00DE7804">
              <w:rPr>
                <w:rFonts w:cstheme="minorHAnsi"/>
                <w:b/>
                <w:i/>
              </w:rPr>
              <w:t>przypadku stwierdzenia przez Dyrektora TDT nieprawidłowości w ramach kontroli, o której mowa w ust. 1</w:t>
            </w:r>
            <w:r>
              <w:rPr>
                <w:rFonts w:cstheme="minorHAnsi"/>
                <w:b/>
                <w:i/>
              </w:rPr>
              <w:t>2</w:t>
            </w:r>
            <w:r w:rsidRPr="00DE7804">
              <w:rPr>
                <w:rFonts w:cstheme="minorHAnsi"/>
                <w:b/>
                <w:i/>
              </w:rPr>
              <w:t>, Dyrektor TDT jako organ nadzoru rynku wydaje decyzję administracyjną ustalającą prawidłową wysokość opłaty za nadzór rynku motoryzacyjnego.</w:t>
            </w:r>
            <w:r>
              <w:rPr>
                <w:rFonts w:cstheme="minorHAnsi"/>
                <w:b/>
                <w:i/>
              </w:rPr>
              <w:t>”</w:t>
            </w:r>
          </w:p>
        </w:tc>
        <w:tc>
          <w:tcPr>
            <w:tcW w:w="3686" w:type="dxa"/>
          </w:tcPr>
          <w:p w14:paraId="59BE0779" w14:textId="77777777" w:rsidR="0075728B" w:rsidRDefault="0075728B" w:rsidP="0042202B">
            <w:pPr>
              <w:rPr>
                <w:rFonts w:cstheme="minorHAnsi"/>
                <w:b/>
              </w:rPr>
            </w:pPr>
            <w:r>
              <w:rPr>
                <w:rFonts w:cstheme="minorHAnsi"/>
                <w:b/>
              </w:rPr>
              <w:t>Jak pkt 92</w:t>
            </w:r>
          </w:p>
          <w:p w14:paraId="3883977B" w14:textId="77777777" w:rsidR="00104748" w:rsidRDefault="00104748" w:rsidP="00104748">
            <w:pPr>
              <w:rPr>
                <w:rFonts w:eastAsiaTheme="minorEastAsia" w:cstheme="minorHAnsi"/>
                <w:b/>
                <w:lang w:eastAsia="pl-PL"/>
              </w:rPr>
            </w:pPr>
          </w:p>
          <w:p w14:paraId="2B570F38" w14:textId="77777777" w:rsidR="00104748" w:rsidRPr="00104748" w:rsidRDefault="00104748" w:rsidP="00104748">
            <w:pPr>
              <w:rPr>
                <w:rFonts w:cstheme="minorHAnsi"/>
                <w:b/>
                <w:color w:val="0070C0"/>
                <w:u w:val="single"/>
              </w:rPr>
            </w:pPr>
            <w:r w:rsidRPr="00F96EBD">
              <w:rPr>
                <w:rFonts w:cstheme="minorHAnsi"/>
                <w:b/>
                <w:color w:val="0070C0"/>
              </w:rPr>
              <w:t>Wprowadzono zmiany w</w:t>
            </w:r>
            <w:r>
              <w:rPr>
                <w:rFonts w:cstheme="minorHAnsi"/>
                <w:b/>
                <w:color w:val="0070C0"/>
              </w:rPr>
              <w:t xml:space="preserve"> </w:t>
            </w:r>
            <w:r w:rsidRPr="00F96EBD">
              <w:rPr>
                <w:rFonts w:cstheme="minorHAnsi"/>
                <w:b/>
                <w:color w:val="0070C0"/>
              </w:rPr>
              <w:t>art. 71s</w:t>
            </w:r>
            <w:r>
              <w:rPr>
                <w:rFonts w:cstheme="minorHAnsi"/>
                <w:b/>
                <w:color w:val="0070C0"/>
              </w:rPr>
              <w:t xml:space="preserve"> – </w:t>
            </w:r>
            <w:r w:rsidRPr="00104748">
              <w:rPr>
                <w:rFonts w:cstheme="minorHAnsi"/>
                <w:b/>
                <w:color w:val="0070C0"/>
                <w:u w:val="single"/>
              </w:rPr>
              <w:t xml:space="preserve">rozdzielono przepisy w zakresie egzekucji zgodnie z uwagą roboczą RCL: art. 68zzb, art. 70 ust. 11 i art. 71 ust. 10 oraz art. 71s. </w:t>
            </w:r>
          </w:p>
          <w:p w14:paraId="141D4C07" w14:textId="4CF39AB9" w:rsidR="00F96EBD" w:rsidRPr="00406B1F" w:rsidRDefault="00F96EBD" w:rsidP="0042202B">
            <w:pPr>
              <w:rPr>
                <w:rFonts w:cstheme="minorHAnsi"/>
                <w:b/>
              </w:rPr>
            </w:pPr>
          </w:p>
        </w:tc>
      </w:tr>
      <w:tr w:rsidR="0075728B" w:rsidRPr="00F515D6" w14:paraId="71E56758" w14:textId="42FA611D" w:rsidTr="00D76FE7">
        <w:tc>
          <w:tcPr>
            <w:tcW w:w="562" w:type="dxa"/>
          </w:tcPr>
          <w:p w14:paraId="36A5E283" w14:textId="77777777" w:rsidR="0075728B" w:rsidRPr="0013236E" w:rsidRDefault="0075728B" w:rsidP="0042202B">
            <w:pPr>
              <w:rPr>
                <w:rFonts w:cstheme="minorHAnsi"/>
                <w:b/>
              </w:rPr>
            </w:pPr>
            <w:r w:rsidRPr="0013236E">
              <w:rPr>
                <w:rFonts w:cstheme="minorHAnsi"/>
                <w:b/>
              </w:rPr>
              <w:t>101</w:t>
            </w:r>
          </w:p>
        </w:tc>
        <w:tc>
          <w:tcPr>
            <w:tcW w:w="993" w:type="dxa"/>
          </w:tcPr>
          <w:p w14:paraId="14EF79C6" w14:textId="77777777" w:rsidR="0075728B" w:rsidRPr="0013236E" w:rsidRDefault="0075728B" w:rsidP="0042202B">
            <w:pPr>
              <w:rPr>
                <w:rFonts w:cstheme="minorHAnsi"/>
                <w:b/>
              </w:rPr>
            </w:pPr>
            <w:r w:rsidRPr="0013236E">
              <w:rPr>
                <w:rFonts w:cstheme="minorHAnsi"/>
                <w:b/>
              </w:rPr>
              <w:t>MFiG</w:t>
            </w:r>
          </w:p>
        </w:tc>
        <w:tc>
          <w:tcPr>
            <w:tcW w:w="1701" w:type="dxa"/>
          </w:tcPr>
          <w:p w14:paraId="421F6258" w14:textId="77777777" w:rsidR="0075728B" w:rsidRPr="0013236E" w:rsidRDefault="0075728B" w:rsidP="0042202B">
            <w:pPr>
              <w:rPr>
                <w:rFonts w:cstheme="minorHAnsi"/>
                <w:b/>
              </w:rPr>
            </w:pPr>
            <w:r w:rsidRPr="0013236E">
              <w:rPr>
                <w:rFonts w:cstheme="minorHAnsi"/>
                <w:b/>
              </w:rPr>
              <w:t>Art. 70 ust. 5 i art. 71 ust. 6  UH</w:t>
            </w:r>
          </w:p>
        </w:tc>
        <w:tc>
          <w:tcPr>
            <w:tcW w:w="5953" w:type="dxa"/>
          </w:tcPr>
          <w:p w14:paraId="02CE9D77" w14:textId="77777777" w:rsidR="0075728B" w:rsidRPr="0013236E" w:rsidRDefault="0075728B" w:rsidP="0042202B">
            <w:pPr>
              <w:autoSpaceDE w:val="0"/>
              <w:autoSpaceDN w:val="0"/>
              <w:adjustRightInd w:val="0"/>
              <w:rPr>
                <w:rFonts w:cstheme="minorHAnsi"/>
                <w:b/>
              </w:rPr>
            </w:pPr>
            <w:r w:rsidRPr="0013236E">
              <w:rPr>
                <w:rFonts w:cstheme="minorHAnsi"/>
                <w:b/>
              </w:rPr>
              <w:t>Modyfikacji wymagają również przepisy projektowanego art. 70 ust. 5 i art. 71 ust. 6 ustawy o s.h.p. Przepisy te zakładają obowiązek uiszczania opłat przez podmioty gospodarcze i producentów na podstawie rachunków wystawionych przez Dyrektora TDT. W celu umożliwienia egzekwowania tych opłat proponuję, żeby podstawą ich uiszczenia była decyzja (postanowienie) wydana przez Dyrektora TDT.</w:t>
            </w:r>
          </w:p>
          <w:p w14:paraId="490C9366" w14:textId="5CE2C5E4" w:rsidR="0075728B" w:rsidRPr="0013236E" w:rsidRDefault="0075728B" w:rsidP="0042202B">
            <w:pPr>
              <w:autoSpaceDE w:val="0"/>
              <w:autoSpaceDN w:val="0"/>
              <w:adjustRightInd w:val="0"/>
              <w:rPr>
                <w:rFonts w:cstheme="minorHAnsi"/>
                <w:b/>
              </w:rPr>
            </w:pPr>
          </w:p>
        </w:tc>
        <w:tc>
          <w:tcPr>
            <w:tcW w:w="3827" w:type="dxa"/>
          </w:tcPr>
          <w:p w14:paraId="06198C78" w14:textId="1FCEB8C8" w:rsidR="0075728B" w:rsidRDefault="0075728B" w:rsidP="0042202B">
            <w:pPr>
              <w:rPr>
                <w:rFonts w:cstheme="minorHAnsi"/>
                <w:b/>
              </w:rPr>
            </w:pPr>
            <w:r w:rsidRPr="0013236E">
              <w:rPr>
                <w:rFonts w:cstheme="minorHAnsi"/>
                <w:b/>
              </w:rPr>
              <w:t>Uwaga uwzględniona poprzez zmianę brzmienia przepisu</w:t>
            </w:r>
            <w:r>
              <w:rPr>
                <w:rFonts w:cstheme="minorHAnsi"/>
                <w:b/>
              </w:rPr>
              <w:t xml:space="preserve"> w art. 70 i 71:</w:t>
            </w:r>
          </w:p>
          <w:p w14:paraId="027F8A33" w14:textId="20043C7C" w:rsidR="0075728B" w:rsidRPr="005C4679"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Pr>
                <w:rFonts w:asciiTheme="minorHAnsi" w:eastAsiaTheme="minorHAnsi" w:hAnsiTheme="minorHAnsi" w:cstheme="minorHAnsi"/>
                <w:b/>
                <w:i/>
                <w:sz w:val="22"/>
                <w:szCs w:val="22"/>
                <w:lang w:eastAsia="en-US"/>
              </w:rPr>
              <w:t>„</w:t>
            </w:r>
            <w:r w:rsidRPr="005C4679">
              <w:rPr>
                <w:rFonts w:asciiTheme="minorHAnsi" w:eastAsiaTheme="minorHAnsi" w:hAnsiTheme="minorHAnsi" w:cstheme="minorHAnsi"/>
                <w:b/>
                <w:i/>
                <w:sz w:val="22"/>
                <w:szCs w:val="22"/>
                <w:lang w:eastAsia="en-US"/>
              </w:rPr>
              <w:t>Dyrektor TDT</w:t>
            </w:r>
            <w:r>
              <w:rPr>
                <w:rFonts w:asciiTheme="minorHAnsi" w:eastAsiaTheme="minorHAnsi" w:hAnsiTheme="minorHAnsi" w:cstheme="minorHAnsi"/>
                <w:b/>
                <w:i/>
                <w:sz w:val="22"/>
                <w:szCs w:val="22"/>
                <w:lang w:eastAsia="en-US"/>
              </w:rPr>
              <w:t xml:space="preserve"> jako organ nadzoru rynku</w:t>
            </w:r>
            <w:r w:rsidRPr="005C4679">
              <w:rPr>
                <w:rFonts w:asciiTheme="minorHAnsi" w:eastAsiaTheme="minorHAnsi" w:hAnsiTheme="minorHAnsi" w:cstheme="minorHAnsi"/>
                <w:b/>
                <w:i/>
                <w:sz w:val="22"/>
                <w:szCs w:val="22"/>
                <w:lang w:eastAsia="en-US"/>
              </w:rPr>
              <w:t>, w drodze decyzji administracyjnej, określa wysokość opłaty i termin jej uiszczenia przez podmiot gospodarczy za powiadomienie  przez Dyrektora TDT jako organ nadzoru rynku użytkowników końcowych o konieczności sprawdzenia stanu technicznego pojazdu w warunkach serwisowych producenta. Opłata uiszczana jest na wskazany rachunek bankowy Transportowego Dozoru Technicznego.</w:t>
            </w:r>
            <w:r>
              <w:rPr>
                <w:rFonts w:asciiTheme="minorHAnsi" w:eastAsiaTheme="minorHAnsi" w:hAnsiTheme="minorHAnsi" w:cstheme="minorHAnsi"/>
                <w:b/>
                <w:i/>
                <w:sz w:val="22"/>
                <w:szCs w:val="22"/>
                <w:lang w:eastAsia="en-US"/>
              </w:rPr>
              <w:t>”</w:t>
            </w:r>
          </w:p>
        </w:tc>
        <w:tc>
          <w:tcPr>
            <w:tcW w:w="3686" w:type="dxa"/>
          </w:tcPr>
          <w:p w14:paraId="56BB5193" w14:textId="77777777" w:rsidR="0075728B" w:rsidRDefault="0075728B" w:rsidP="0042202B">
            <w:pPr>
              <w:rPr>
                <w:rFonts w:cstheme="minorHAnsi"/>
                <w:b/>
              </w:rPr>
            </w:pPr>
            <w:r>
              <w:rPr>
                <w:rFonts w:cstheme="minorHAnsi"/>
                <w:b/>
              </w:rPr>
              <w:t>Jak pkt 92</w:t>
            </w:r>
          </w:p>
          <w:p w14:paraId="14E946B8" w14:textId="77777777" w:rsidR="00104748" w:rsidRDefault="00104748" w:rsidP="00104748">
            <w:pPr>
              <w:rPr>
                <w:rFonts w:eastAsiaTheme="minorEastAsia" w:cstheme="minorHAnsi"/>
                <w:b/>
                <w:lang w:eastAsia="pl-PL"/>
              </w:rPr>
            </w:pPr>
          </w:p>
          <w:p w14:paraId="544AB644" w14:textId="77777777" w:rsidR="00104748" w:rsidRPr="00104748" w:rsidRDefault="00104748" w:rsidP="00104748">
            <w:pPr>
              <w:rPr>
                <w:rFonts w:cstheme="minorHAnsi"/>
                <w:b/>
                <w:color w:val="0070C0"/>
                <w:u w:val="single"/>
              </w:rPr>
            </w:pPr>
            <w:r w:rsidRPr="00F96EBD">
              <w:rPr>
                <w:rFonts w:cstheme="minorHAnsi"/>
                <w:b/>
                <w:color w:val="0070C0"/>
              </w:rPr>
              <w:t>Wprowadzono zmiany w</w:t>
            </w:r>
            <w:r>
              <w:rPr>
                <w:rFonts w:cstheme="minorHAnsi"/>
                <w:b/>
                <w:color w:val="0070C0"/>
              </w:rPr>
              <w:t xml:space="preserve"> </w:t>
            </w:r>
            <w:r w:rsidRPr="00F96EBD">
              <w:rPr>
                <w:rFonts w:cstheme="minorHAnsi"/>
                <w:b/>
                <w:color w:val="0070C0"/>
              </w:rPr>
              <w:t>art. 71s</w:t>
            </w:r>
            <w:r>
              <w:rPr>
                <w:rFonts w:cstheme="minorHAnsi"/>
                <w:b/>
                <w:color w:val="0070C0"/>
              </w:rPr>
              <w:t xml:space="preserve"> – </w:t>
            </w:r>
            <w:r w:rsidRPr="00104748">
              <w:rPr>
                <w:rFonts w:cstheme="minorHAnsi"/>
                <w:b/>
                <w:color w:val="0070C0"/>
                <w:u w:val="single"/>
              </w:rPr>
              <w:t xml:space="preserve">rozdzielono przepisy w zakresie egzekucji zgodnie z uwagą roboczą RCL: art. 68zzb, art. 70 ust. 11 i art. 71 ust. 10 oraz art. 71s. </w:t>
            </w:r>
          </w:p>
          <w:p w14:paraId="1A6C74B2" w14:textId="45EFA066" w:rsidR="00F96EBD" w:rsidRPr="0013236E" w:rsidRDefault="00F96EBD" w:rsidP="0042202B">
            <w:pPr>
              <w:rPr>
                <w:rFonts w:cstheme="minorHAnsi"/>
                <w:b/>
              </w:rPr>
            </w:pPr>
          </w:p>
        </w:tc>
      </w:tr>
      <w:tr w:rsidR="0075728B" w:rsidRPr="00F515D6" w14:paraId="02E52952" w14:textId="4DC59E5D" w:rsidTr="00D76FE7">
        <w:tc>
          <w:tcPr>
            <w:tcW w:w="562" w:type="dxa"/>
          </w:tcPr>
          <w:p w14:paraId="08BA8A3E" w14:textId="77777777" w:rsidR="0075728B" w:rsidRPr="007F7983" w:rsidRDefault="0075728B" w:rsidP="0042202B">
            <w:pPr>
              <w:rPr>
                <w:rFonts w:cstheme="minorHAnsi"/>
                <w:b/>
              </w:rPr>
            </w:pPr>
            <w:r w:rsidRPr="007F7983">
              <w:rPr>
                <w:rFonts w:cstheme="minorHAnsi"/>
                <w:b/>
              </w:rPr>
              <w:t>102</w:t>
            </w:r>
          </w:p>
        </w:tc>
        <w:tc>
          <w:tcPr>
            <w:tcW w:w="993" w:type="dxa"/>
          </w:tcPr>
          <w:p w14:paraId="0B784F7F" w14:textId="77777777" w:rsidR="0075728B" w:rsidRDefault="0075728B" w:rsidP="0042202B">
            <w:pPr>
              <w:rPr>
                <w:rFonts w:cstheme="minorHAnsi"/>
                <w:b/>
                <w:color w:val="00B050"/>
              </w:rPr>
            </w:pPr>
            <w:r w:rsidRPr="007F7983">
              <w:rPr>
                <w:rFonts w:cstheme="minorHAnsi"/>
                <w:b/>
              </w:rPr>
              <w:t>MFiG</w:t>
            </w:r>
          </w:p>
          <w:p w14:paraId="77562CE2" w14:textId="233DF4C4" w:rsidR="0075728B" w:rsidRPr="00E622EA" w:rsidRDefault="0075728B" w:rsidP="0042202B">
            <w:pPr>
              <w:rPr>
                <w:rFonts w:cstheme="minorHAnsi"/>
                <w:b/>
                <w:color w:val="00B050"/>
              </w:rPr>
            </w:pPr>
            <w:r>
              <w:rPr>
                <w:rFonts w:cstheme="minorHAnsi"/>
                <w:b/>
                <w:color w:val="00B050"/>
              </w:rPr>
              <w:t>+ uwaga 18 RCL</w:t>
            </w:r>
          </w:p>
        </w:tc>
        <w:tc>
          <w:tcPr>
            <w:tcW w:w="1701" w:type="dxa"/>
          </w:tcPr>
          <w:p w14:paraId="4004DB6E" w14:textId="77777777" w:rsidR="0075728B" w:rsidRPr="007F7983" w:rsidRDefault="0075728B" w:rsidP="0042202B">
            <w:pPr>
              <w:rPr>
                <w:rFonts w:cstheme="minorHAnsi"/>
                <w:b/>
              </w:rPr>
            </w:pPr>
            <w:r w:rsidRPr="007F7983">
              <w:rPr>
                <w:rFonts w:cstheme="minorHAnsi"/>
                <w:b/>
              </w:rPr>
              <w:t>Art. 71a ust. 1  UH</w:t>
            </w:r>
          </w:p>
        </w:tc>
        <w:tc>
          <w:tcPr>
            <w:tcW w:w="5953" w:type="dxa"/>
          </w:tcPr>
          <w:p w14:paraId="1562D238" w14:textId="77777777" w:rsidR="0075728B" w:rsidRPr="007F7983" w:rsidRDefault="0075728B" w:rsidP="0042202B">
            <w:pPr>
              <w:autoSpaceDE w:val="0"/>
              <w:autoSpaceDN w:val="0"/>
              <w:adjustRightInd w:val="0"/>
              <w:rPr>
                <w:rFonts w:cstheme="minorHAnsi"/>
                <w:b/>
              </w:rPr>
            </w:pPr>
            <w:bookmarkStart w:id="63" w:name="_Hlk225247688"/>
            <w:r w:rsidRPr="007F7983">
              <w:rPr>
                <w:rFonts w:cstheme="minorHAnsi"/>
                <w:b/>
              </w:rPr>
              <w:t>Przeredagowania wymaga projektowany art. 71a ust. 1 ustawy o s.h.p. w zakresie ujęcia w części wspólnej punktów zdania drugiego.</w:t>
            </w:r>
          </w:p>
          <w:bookmarkEnd w:id="63"/>
          <w:p w14:paraId="0B277E39" w14:textId="77777777" w:rsidR="0075728B" w:rsidRPr="007F7983" w:rsidRDefault="0075728B" w:rsidP="0042202B">
            <w:pPr>
              <w:rPr>
                <w:rFonts w:cstheme="minorHAnsi"/>
                <w:b/>
              </w:rPr>
            </w:pPr>
          </w:p>
        </w:tc>
        <w:tc>
          <w:tcPr>
            <w:tcW w:w="3827" w:type="dxa"/>
          </w:tcPr>
          <w:p w14:paraId="0521F5F3" w14:textId="3A8F36DB" w:rsidR="0075728B" w:rsidRPr="007F7983" w:rsidRDefault="0075728B" w:rsidP="0042202B">
            <w:pPr>
              <w:rPr>
                <w:rFonts w:cstheme="minorHAnsi"/>
                <w:b/>
              </w:rPr>
            </w:pPr>
            <w:r>
              <w:rPr>
                <w:rFonts w:cstheme="minorHAnsi"/>
                <w:b/>
              </w:rPr>
              <w:t xml:space="preserve">Uwaga nieaktualna – zdanie drugie w części wspólnej art. 71a zostało wykreślone. </w:t>
            </w:r>
          </w:p>
        </w:tc>
        <w:tc>
          <w:tcPr>
            <w:tcW w:w="3686" w:type="dxa"/>
          </w:tcPr>
          <w:p w14:paraId="31593D7D" w14:textId="5FFCD582" w:rsidR="0075728B" w:rsidRDefault="0075728B" w:rsidP="0042202B">
            <w:pPr>
              <w:rPr>
                <w:rFonts w:cstheme="minorHAnsi"/>
                <w:b/>
              </w:rPr>
            </w:pPr>
            <w:r>
              <w:rPr>
                <w:rFonts w:cstheme="minorHAnsi"/>
                <w:b/>
              </w:rPr>
              <w:t xml:space="preserve">Akceptacja </w:t>
            </w:r>
          </w:p>
        </w:tc>
      </w:tr>
      <w:tr w:rsidR="0075728B" w:rsidRPr="00F515D6" w14:paraId="5D7A8041" w14:textId="4798A6DF" w:rsidTr="00D76FE7">
        <w:tc>
          <w:tcPr>
            <w:tcW w:w="562" w:type="dxa"/>
          </w:tcPr>
          <w:p w14:paraId="2C6EF18D" w14:textId="77777777" w:rsidR="0075728B" w:rsidRPr="00025977" w:rsidRDefault="0075728B" w:rsidP="0042202B">
            <w:pPr>
              <w:rPr>
                <w:rFonts w:cstheme="minorHAnsi"/>
                <w:b/>
              </w:rPr>
            </w:pPr>
            <w:r w:rsidRPr="00025977">
              <w:rPr>
                <w:rFonts w:cstheme="minorHAnsi"/>
                <w:b/>
              </w:rPr>
              <w:t>103</w:t>
            </w:r>
          </w:p>
        </w:tc>
        <w:tc>
          <w:tcPr>
            <w:tcW w:w="993" w:type="dxa"/>
          </w:tcPr>
          <w:p w14:paraId="373581FF" w14:textId="77777777" w:rsidR="0075728B" w:rsidRPr="00025977" w:rsidRDefault="0075728B" w:rsidP="0042202B">
            <w:pPr>
              <w:rPr>
                <w:rFonts w:cstheme="minorHAnsi"/>
                <w:b/>
              </w:rPr>
            </w:pPr>
            <w:r w:rsidRPr="00025977">
              <w:rPr>
                <w:rFonts w:cstheme="minorHAnsi"/>
                <w:b/>
              </w:rPr>
              <w:t>MFiG</w:t>
            </w:r>
          </w:p>
        </w:tc>
        <w:tc>
          <w:tcPr>
            <w:tcW w:w="1701" w:type="dxa"/>
          </w:tcPr>
          <w:p w14:paraId="1AC8E0F7" w14:textId="77777777" w:rsidR="0075728B" w:rsidRPr="00025977" w:rsidRDefault="0075728B" w:rsidP="0042202B">
            <w:pPr>
              <w:rPr>
                <w:rFonts w:cstheme="minorHAnsi"/>
                <w:b/>
              </w:rPr>
            </w:pPr>
            <w:r w:rsidRPr="00025977">
              <w:rPr>
                <w:rFonts w:cstheme="minorHAnsi"/>
                <w:b/>
              </w:rPr>
              <w:t>Art. 72 ust. 1 pkt 10 PRD</w:t>
            </w:r>
          </w:p>
        </w:tc>
        <w:tc>
          <w:tcPr>
            <w:tcW w:w="5953" w:type="dxa"/>
          </w:tcPr>
          <w:p w14:paraId="276B2897" w14:textId="29E1AF87" w:rsidR="0075728B" w:rsidRPr="00025977" w:rsidRDefault="0075728B" w:rsidP="0042202B">
            <w:pPr>
              <w:autoSpaceDE w:val="0"/>
              <w:autoSpaceDN w:val="0"/>
              <w:adjustRightInd w:val="0"/>
              <w:rPr>
                <w:rFonts w:cstheme="minorHAnsi"/>
                <w:b/>
              </w:rPr>
            </w:pPr>
            <w:r w:rsidRPr="00025977">
              <w:rPr>
                <w:rFonts w:cstheme="minorHAnsi"/>
                <w:b/>
              </w:rPr>
              <w:t>Zmian wymaga projektowany art. 72 ust. 1 pkt 10 (obecnie art. 72 ust. 1 pkt 6a) ustawy Prawo o ruchu drogowym, (dalej p.r.d.), który dotyczy dokumentów wymaganych do rejestracji pojazdu samochodowego (tj. dokumentu potwierdzającego zapłatę akcyzy na terytorium kraju albo dokumentu potwierdzającego brak obowiązku zapłaty akcyzy na terytorium kraju albo zaświadczenia stwierdzającego zwolnienie od akcyzy) – zmiany polegającej na dodaniu podrodzaju pojazdów ciężarowych typu „skrzynia” oraz pick-up”.  Powyższa zmiana ma na celu systemowe wyeliminowanie występującego zjawiska unikania przez nieuczciwe podmioty obowiązku zapłaty podatku akcyzowego w przypadku rejestracji sprowadzanych do Polski samochodów typu pick-up jako ciężarowe z wnioskowanym podrodzajem „skrzynia” albo „pick-up”. Samochody typu pick-up w zależności od parametrów technicznych mogą być bowiem traktowane na gruncie przepisów ustawy o podatku akcyzowym jako samochody ciężarowe albo osobowe. Wskazać również należy, że w systemie CEPiK stwierdzone zostały przypadki rejestracji samochodów ciężarowych typu pick-up gdzie w podrodzaju wskazano informację „skrzyniowy” albo „pick-up”. Natomiast przy pierwszej rejestracji sprowadzonego do Polski z terytorium innego państwa członkowskiego UE samochodu ciężarowego ze wskazanym podrodzajem „skrzyniowy” albo „pick-up” organy rejestrujące nie wymagają dokumentu potwierdzającego zapłatę akcyzy na terytorium kraju albo dokumentu potwierdzającego brak obowiązku zapłaty akcyzy na terytorium kraju albo zaświadczenia stwierdzającego zwolnienie od akcyzy, ponieważ wskazane podrodzaje pojazdów ciężarowych nie zostały wymienione w obecnie obowiązującym art. 72 ust. 1 pkt 6a ustawy p.r.d. W wyniku wprowadzonych zmian właściwy organ podatkowy, wydając dla celów rejestracji odpowiedni dokument (stwierdzający zapłatę akcyzy lub potwierdzający brak obowiązku jej zapłaty), będzie tym samym weryfikował wypełnienie obowiązku zapłaty akcyzy przez podmioty do tego zobowiązane. Zmiana ta przyczyni się w konsekwencji do uszczelnienia w zakresie podatku akcyzowego obrotu takimi samochodami uniemożliwiając podmiotom uchylanie się do obowiązku zapłaty akcyzy.</w:t>
            </w:r>
          </w:p>
          <w:p w14:paraId="5500FFEC" w14:textId="77777777" w:rsidR="0075728B" w:rsidRPr="00025977" w:rsidRDefault="0075728B" w:rsidP="0042202B">
            <w:pPr>
              <w:autoSpaceDE w:val="0"/>
              <w:autoSpaceDN w:val="0"/>
              <w:adjustRightInd w:val="0"/>
              <w:rPr>
                <w:rFonts w:cstheme="minorHAnsi"/>
                <w:b/>
              </w:rPr>
            </w:pPr>
            <w:r w:rsidRPr="00025977">
              <w:rPr>
                <w:rFonts w:cstheme="minorHAnsi"/>
                <w:b/>
              </w:rPr>
              <w:t>Proponuję następujące brzmienie projektowanego art. 72 ust. 1 pkt 10 (obecnie art. 72 ust. 1 pkt 6a) ustawy:</w:t>
            </w:r>
          </w:p>
          <w:p w14:paraId="2266DD20" w14:textId="77777777" w:rsidR="0075728B" w:rsidRPr="00025977" w:rsidRDefault="0075728B" w:rsidP="0042202B">
            <w:pPr>
              <w:autoSpaceDE w:val="0"/>
              <w:autoSpaceDN w:val="0"/>
              <w:adjustRightInd w:val="0"/>
              <w:rPr>
                <w:rFonts w:cstheme="minorHAnsi"/>
                <w:b/>
                <w:i/>
                <w:iCs/>
              </w:rPr>
            </w:pPr>
            <w:r w:rsidRPr="00025977">
              <w:rPr>
                <w:rFonts w:cstheme="minorHAnsi"/>
                <w:b/>
                <w:i/>
                <w:iCs/>
              </w:rPr>
              <w:t>10) na podstawie dokumentu potwierdzającego zapłatę akcyzy na terytorium kraju albo dokumentu potwierdzającego brak obowiązku zapłaty akcyzy na terytorium kraju albo zaświadczenia stwierdzającego zwolnienie od akcyzy, w rozumieniu przepisów o podatku akcyzowym, jeżeli samochód osobowy, pojazd rodzaju ,,samochodowy inny”, podrodzaj ,,czterokołowiec” (kategoria homologacyjna L7e) lub podrodzaj ,,czterokołowiec lekki” (kategoria homologacyjna L6e), samochód ciężarowy (kategoria homologacyjna N1), podrodzaj ,,furgon”, ,,furgon/podest”, ,,ciężarowo-osobowy”, ,,terenowy”, ,,wielozadaniowy”, ,,van”, „skrzynia” lub „pick-up”</w:t>
            </w:r>
            <w:r w:rsidRPr="00025977">
              <w:rPr>
                <w:rFonts w:cstheme="minorHAnsi"/>
                <w:b/>
                <w:bCs/>
                <w:i/>
                <w:iCs/>
              </w:rPr>
              <w:t xml:space="preserve"> </w:t>
            </w:r>
            <w:r w:rsidRPr="00025977">
              <w:rPr>
                <w:rFonts w:cstheme="minorHAnsi"/>
                <w:b/>
                <w:i/>
                <w:iCs/>
              </w:rPr>
              <w:t>lub samochód specjalny (kategoria homologacyjna M1 i N1), został sprowadzony z terytorium państwa członkowskiego Unii Europejskiej i jest rejestrowany po raz pierwszy.”.</w:t>
            </w:r>
          </w:p>
          <w:p w14:paraId="5F3DC6AD" w14:textId="77777777" w:rsidR="0075728B" w:rsidRPr="00025977" w:rsidRDefault="0075728B" w:rsidP="0042202B">
            <w:pPr>
              <w:autoSpaceDE w:val="0"/>
              <w:autoSpaceDN w:val="0"/>
              <w:adjustRightInd w:val="0"/>
              <w:rPr>
                <w:rFonts w:cstheme="minorHAnsi"/>
                <w:b/>
              </w:rPr>
            </w:pPr>
            <w:r w:rsidRPr="00025977">
              <w:rPr>
                <w:rFonts w:cstheme="minorHAnsi"/>
                <w:b/>
              </w:rPr>
              <w:t>Konsekwencją wnioskowanej zmiany będzie również konieczność uzupełnienia podrodzaju samochodów ciężarowych o podrodzaj „skrzynia” oraz „pick-up” w analogicznym przepisie zawartym w § 16 ust. 1 pkt 4 lit. c) rozporządzenia Ministra Infrastruktury z dnia 8 listopada 2024 r. w sprawie rejestracji i oznaczania pojazdów, wymagań dla tablic rejestracyjnych oraz wzorów innych dokumentów związanych z rejestracją pojazdów.</w:t>
            </w:r>
          </w:p>
          <w:p w14:paraId="5FFBC193" w14:textId="586E22BF" w:rsidR="0075728B" w:rsidRPr="00025977" w:rsidRDefault="0075728B" w:rsidP="0042202B">
            <w:pPr>
              <w:autoSpaceDE w:val="0"/>
              <w:autoSpaceDN w:val="0"/>
              <w:adjustRightInd w:val="0"/>
              <w:rPr>
                <w:rFonts w:cstheme="minorHAnsi"/>
                <w:b/>
              </w:rPr>
            </w:pPr>
            <w:r w:rsidRPr="00025977">
              <w:rPr>
                <w:rFonts w:cstheme="minorHAnsi"/>
                <w:b/>
              </w:rPr>
              <w:t>Jednocześnie zauważam, że powyższy postulat (już wcześniej zgłaszany przez Ministerstwo Finansów) został oceniony przez Ministerstwo Infrastruktury, pismem z dnia 11 stycznia 2024 r., znak pisma: DTD-3.4400.697.2023 jako prawidłowy.</w:t>
            </w:r>
          </w:p>
        </w:tc>
        <w:tc>
          <w:tcPr>
            <w:tcW w:w="3827" w:type="dxa"/>
          </w:tcPr>
          <w:p w14:paraId="0BCF740F" w14:textId="765C0A38" w:rsidR="0075728B" w:rsidRPr="00025977" w:rsidRDefault="0075728B" w:rsidP="0042202B">
            <w:pPr>
              <w:rPr>
                <w:rFonts w:cstheme="minorHAnsi"/>
                <w:b/>
              </w:rPr>
            </w:pPr>
            <w:r w:rsidRPr="00025977">
              <w:rPr>
                <w:rFonts w:cstheme="minorHAnsi"/>
                <w:b/>
              </w:rPr>
              <w:t>Uwaga uwzględni</w:t>
            </w:r>
            <w:r>
              <w:rPr>
                <w:rFonts w:cstheme="minorHAnsi"/>
                <w:b/>
              </w:rPr>
              <w:t xml:space="preserve">ona zgodnie z propozycją. </w:t>
            </w:r>
          </w:p>
          <w:p w14:paraId="583DFF5D" w14:textId="0CF4DF6A" w:rsidR="0075728B" w:rsidRPr="00025977" w:rsidRDefault="0075728B" w:rsidP="0042202B">
            <w:pPr>
              <w:rPr>
                <w:rFonts w:cstheme="minorHAnsi"/>
                <w:b/>
              </w:rPr>
            </w:pPr>
          </w:p>
        </w:tc>
        <w:tc>
          <w:tcPr>
            <w:tcW w:w="3686" w:type="dxa"/>
          </w:tcPr>
          <w:p w14:paraId="46469745" w14:textId="398E9FE8" w:rsidR="0075728B" w:rsidRPr="00025977" w:rsidRDefault="0075728B" w:rsidP="0042202B">
            <w:pPr>
              <w:rPr>
                <w:rFonts w:cstheme="minorHAnsi"/>
                <w:b/>
              </w:rPr>
            </w:pPr>
            <w:r>
              <w:rPr>
                <w:rFonts w:cstheme="minorHAnsi"/>
                <w:b/>
              </w:rPr>
              <w:t xml:space="preserve">Akceptacja </w:t>
            </w:r>
          </w:p>
        </w:tc>
      </w:tr>
      <w:tr w:rsidR="0075728B" w:rsidRPr="00F515D6" w14:paraId="0E8B7063" w14:textId="1D261F3D" w:rsidTr="00D76FE7">
        <w:tc>
          <w:tcPr>
            <w:tcW w:w="562" w:type="dxa"/>
          </w:tcPr>
          <w:p w14:paraId="3F9725EA" w14:textId="77777777" w:rsidR="0075728B" w:rsidRPr="00025977" w:rsidRDefault="0075728B" w:rsidP="0042202B">
            <w:pPr>
              <w:rPr>
                <w:rFonts w:cstheme="minorHAnsi"/>
                <w:b/>
              </w:rPr>
            </w:pPr>
            <w:r w:rsidRPr="00025977">
              <w:rPr>
                <w:rFonts w:cstheme="minorHAnsi"/>
                <w:b/>
              </w:rPr>
              <w:t>104</w:t>
            </w:r>
          </w:p>
        </w:tc>
        <w:tc>
          <w:tcPr>
            <w:tcW w:w="993" w:type="dxa"/>
          </w:tcPr>
          <w:p w14:paraId="7FB2C64C" w14:textId="77777777" w:rsidR="0075728B" w:rsidRDefault="0075728B" w:rsidP="0042202B">
            <w:pPr>
              <w:rPr>
                <w:rFonts w:cstheme="minorHAnsi"/>
                <w:b/>
              </w:rPr>
            </w:pPr>
            <w:r w:rsidRPr="00025977">
              <w:rPr>
                <w:rFonts w:cstheme="minorHAnsi"/>
                <w:b/>
              </w:rPr>
              <w:t>MFiG</w:t>
            </w:r>
          </w:p>
          <w:p w14:paraId="0BC104D4" w14:textId="77777777" w:rsidR="0075728B" w:rsidRDefault="0075728B" w:rsidP="0042202B">
            <w:pPr>
              <w:rPr>
                <w:rFonts w:cstheme="minorHAnsi"/>
                <w:b/>
              </w:rPr>
            </w:pPr>
          </w:p>
          <w:p w14:paraId="249655DB" w14:textId="5E45D50E" w:rsidR="0075728B" w:rsidRPr="00487324" w:rsidRDefault="0075728B" w:rsidP="0042202B">
            <w:pPr>
              <w:rPr>
                <w:rFonts w:cstheme="minorHAnsi"/>
                <w:b/>
                <w:color w:val="00B050"/>
              </w:rPr>
            </w:pPr>
            <w:r>
              <w:rPr>
                <w:rFonts w:cstheme="minorHAnsi"/>
                <w:b/>
                <w:color w:val="00B050"/>
              </w:rPr>
              <w:t>+uwaga 91 MFiG</w:t>
            </w:r>
          </w:p>
        </w:tc>
        <w:tc>
          <w:tcPr>
            <w:tcW w:w="1701" w:type="dxa"/>
          </w:tcPr>
          <w:p w14:paraId="36686FDA" w14:textId="77777777" w:rsidR="0075728B" w:rsidRPr="00025977" w:rsidRDefault="0075728B" w:rsidP="0042202B">
            <w:pPr>
              <w:rPr>
                <w:rFonts w:cstheme="minorHAnsi"/>
                <w:b/>
              </w:rPr>
            </w:pPr>
            <w:r w:rsidRPr="00025977">
              <w:rPr>
                <w:rFonts w:cstheme="minorHAnsi"/>
                <w:b/>
              </w:rPr>
              <w:t>Art. 132 ust. 1a pkt 9 PRD</w:t>
            </w:r>
          </w:p>
        </w:tc>
        <w:tc>
          <w:tcPr>
            <w:tcW w:w="5953" w:type="dxa"/>
          </w:tcPr>
          <w:p w14:paraId="5CE07E9E" w14:textId="1437CD62" w:rsidR="0075728B" w:rsidRPr="00025977" w:rsidRDefault="0075728B" w:rsidP="0042202B">
            <w:pPr>
              <w:autoSpaceDE w:val="0"/>
              <w:autoSpaceDN w:val="0"/>
              <w:adjustRightInd w:val="0"/>
              <w:rPr>
                <w:rFonts w:cstheme="minorHAnsi"/>
                <w:b/>
              </w:rPr>
            </w:pPr>
            <w:r w:rsidRPr="00025977">
              <w:rPr>
                <w:rFonts w:cstheme="minorHAnsi"/>
                <w:b/>
              </w:rPr>
              <w:t xml:space="preserve">Szczegółowego wyjaśnienia wymagają przypisane Służbie Celno-Skarbowej  zadania w zakresie stwierdzenia, że pojazd nie odpowiada warunkom technicznym określonym w Konwencji o ruchu drogowym, sporządzonej w Wiedniu dnia 8 listopada 1968 r. (projektowany art. 132 ust. 1a pkt 9 ustawy p.r.d.). Uzasadnienie w żaden sposób nie odnosi się do tego jak to zdanie wpisuje się w zakres działania wymienionej Służby. </w:t>
            </w:r>
          </w:p>
        </w:tc>
        <w:tc>
          <w:tcPr>
            <w:tcW w:w="3827" w:type="dxa"/>
          </w:tcPr>
          <w:p w14:paraId="2B664C57" w14:textId="36A0E8EB" w:rsidR="0075728B" w:rsidRPr="00025977" w:rsidRDefault="0075728B" w:rsidP="0042202B">
            <w:pPr>
              <w:rPr>
                <w:rFonts w:cstheme="minorHAnsi"/>
                <w:b/>
              </w:rPr>
            </w:pPr>
            <w:r>
              <w:rPr>
                <w:rFonts w:cstheme="minorHAnsi"/>
                <w:b/>
              </w:rPr>
              <w:t>Z</w:t>
            </w:r>
            <w:r w:rsidRPr="00C95DE1">
              <w:rPr>
                <w:rFonts w:cstheme="minorHAnsi"/>
                <w:b/>
              </w:rPr>
              <w:t>rezygnowano z dodawania pkt 9 do art. 132 ust. 1a PRD.</w:t>
            </w:r>
          </w:p>
        </w:tc>
        <w:tc>
          <w:tcPr>
            <w:tcW w:w="3686" w:type="dxa"/>
          </w:tcPr>
          <w:p w14:paraId="5A893396" w14:textId="752BEFDB" w:rsidR="0075728B" w:rsidRDefault="0075728B" w:rsidP="0042202B">
            <w:pPr>
              <w:rPr>
                <w:rFonts w:cstheme="minorHAnsi"/>
                <w:b/>
              </w:rPr>
            </w:pPr>
            <w:r>
              <w:rPr>
                <w:rFonts w:cstheme="minorHAnsi"/>
                <w:b/>
              </w:rPr>
              <w:t xml:space="preserve">Akceptacja </w:t>
            </w:r>
          </w:p>
        </w:tc>
      </w:tr>
      <w:tr w:rsidR="0075728B" w:rsidRPr="00F515D6" w14:paraId="4834A539" w14:textId="5C8CE5D2" w:rsidTr="00D76FE7">
        <w:tc>
          <w:tcPr>
            <w:tcW w:w="562" w:type="dxa"/>
          </w:tcPr>
          <w:p w14:paraId="16634415" w14:textId="77777777" w:rsidR="0075728B" w:rsidRPr="00577EDB" w:rsidRDefault="0075728B" w:rsidP="0042202B">
            <w:pPr>
              <w:rPr>
                <w:rFonts w:cstheme="minorHAnsi"/>
                <w:b/>
              </w:rPr>
            </w:pPr>
            <w:bookmarkStart w:id="64" w:name="_Hlk231404625"/>
            <w:r w:rsidRPr="00577EDB">
              <w:rPr>
                <w:rFonts w:cstheme="minorHAnsi"/>
                <w:b/>
              </w:rPr>
              <w:t>105</w:t>
            </w:r>
          </w:p>
        </w:tc>
        <w:tc>
          <w:tcPr>
            <w:tcW w:w="993" w:type="dxa"/>
          </w:tcPr>
          <w:p w14:paraId="025F1DAE" w14:textId="77777777" w:rsidR="0075728B" w:rsidRDefault="0075728B" w:rsidP="0042202B">
            <w:pPr>
              <w:rPr>
                <w:rFonts w:cstheme="minorHAnsi"/>
                <w:b/>
              </w:rPr>
            </w:pPr>
            <w:r w:rsidRPr="00577EDB">
              <w:rPr>
                <w:rFonts w:cstheme="minorHAnsi"/>
                <w:b/>
              </w:rPr>
              <w:t>MFiG</w:t>
            </w:r>
          </w:p>
          <w:p w14:paraId="4B0315B0" w14:textId="0C7C84ED" w:rsidR="0075728B" w:rsidRDefault="0075728B" w:rsidP="0042202B">
            <w:pPr>
              <w:rPr>
                <w:rFonts w:cstheme="minorHAnsi"/>
                <w:b/>
                <w:color w:val="00B050"/>
              </w:rPr>
            </w:pPr>
            <w:r>
              <w:rPr>
                <w:rFonts w:cstheme="minorHAnsi"/>
                <w:b/>
                <w:color w:val="00B050"/>
              </w:rPr>
              <w:t>+ uwaga  3 RCL</w:t>
            </w:r>
          </w:p>
          <w:p w14:paraId="20E12092" w14:textId="77777777" w:rsidR="0075728B" w:rsidRDefault="0075728B" w:rsidP="0042202B">
            <w:pPr>
              <w:rPr>
                <w:rFonts w:cstheme="minorHAnsi"/>
                <w:b/>
                <w:color w:val="00B050"/>
              </w:rPr>
            </w:pPr>
          </w:p>
          <w:p w14:paraId="160244C0" w14:textId="20042F8C" w:rsidR="0075728B" w:rsidRDefault="0075728B" w:rsidP="0042202B">
            <w:pPr>
              <w:rPr>
                <w:rFonts w:cstheme="minorHAnsi"/>
                <w:b/>
                <w:color w:val="00B050"/>
              </w:rPr>
            </w:pPr>
            <w:r>
              <w:rPr>
                <w:rFonts w:cstheme="minorHAnsi"/>
                <w:b/>
                <w:color w:val="00B050"/>
              </w:rPr>
              <w:t>+82-83 MFiG</w:t>
            </w:r>
          </w:p>
          <w:p w14:paraId="7937A35B" w14:textId="1D2E50E9" w:rsidR="0075728B" w:rsidRPr="00577EDB" w:rsidRDefault="0075728B" w:rsidP="0042202B">
            <w:pPr>
              <w:rPr>
                <w:rFonts w:cstheme="minorHAnsi"/>
                <w:b/>
              </w:rPr>
            </w:pPr>
          </w:p>
        </w:tc>
        <w:tc>
          <w:tcPr>
            <w:tcW w:w="1701" w:type="dxa"/>
          </w:tcPr>
          <w:p w14:paraId="6682D012" w14:textId="77777777" w:rsidR="0075728B" w:rsidRPr="00577EDB" w:rsidRDefault="0075728B" w:rsidP="0042202B">
            <w:pPr>
              <w:rPr>
                <w:rFonts w:cstheme="minorHAnsi"/>
                <w:b/>
              </w:rPr>
            </w:pPr>
            <w:r w:rsidRPr="00577EDB">
              <w:rPr>
                <w:rFonts w:cstheme="minorHAnsi"/>
                <w:b/>
              </w:rPr>
              <w:t>Ogólna uwaga</w:t>
            </w:r>
          </w:p>
        </w:tc>
        <w:tc>
          <w:tcPr>
            <w:tcW w:w="5953" w:type="dxa"/>
          </w:tcPr>
          <w:p w14:paraId="447942DA" w14:textId="77777777" w:rsidR="0075728B" w:rsidRPr="00577EDB" w:rsidRDefault="0075728B" w:rsidP="0042202B">
            <w:pPr>
              <w:autoSpaceDE w:val="0"/>
              <w:autoSpaceDN w:val="0"/>
              <w:adjustRightInd w:val="0"/>
              <w:rPr>
                <w:rFonts w:cstheme="minorHAnsi"/>
                <w:b/>
              </w:rPr>
            </w:pPr>
            <w:r w:rsidRPr="00577EDB">
              <w:rPr>
                <w:rFonts w:cstheme="minorHAnsi"/>
                <w:b/>
              </w:rPr>
              <w:t>Wymaga wyjaśnienia, czy wszystkie urządzenia typu hulajnogi elektryczne będą podlegały obowiązkowi homologacyjnemu. Zwracamy szczególną uwagę na konieczność objęcia obowiązkową homologacją wszystkich pojazdów typu quad. Projektodawca nie przewidział nałożenia obowiązku homologacji na tego typu pojazdy. Uregulowanie tej kwestii ma na celu zwiększenie bezpieczeństwa wszystkich uczestników ruchu drogowego.</w:t>
            </w:r>
          </w:p>
          <w:p w14:paraId="43751FAD" w14:textId="5050BD41" w:rsidR="0075728B" w:rsidRPr="00577EDB" w:rsidRDefault="0075728B" w:rsidP="0042202B">
            <w:pPr>
              <w:autoSpaceDE w:val="0"/>
              <w:autoSpaceDN w:val="0"/>
              <w:adjustRightInd w:val="0"/>
              <w:rPr>
                <w:rFonts w:cstheme="minorHAnsi"/>
                <w:b/>
              </w:rPr>
            </w:pPr>
          </w:p>
        </w:tc>
        <w:tc>
          <w:tcPr>
            <w:tcW w:w="3827" w:type="dxa"/>
          </w:tcPr>
          <w:p w14:paraId="363A7677" w14:textId="77777777" w:rsidR="0075728B" w:rsidRPr="00577EDB" w:rsidRDefault="0075728B" w:rsidP="0042202B">
            <w:pPr>
              <w:rPr>
                <w:rFonts w:cstheme="minorHAnsi"/>
                <w:b/>
              </w:rPr>
            </w:pPr>
            <w:r w:rsidRPr="00577EDB">
              <w:rPr>
                <w:rFonts w:cstheme="minorHAnsi"/>
                <w:b/>
              </w:rPr>
              <w:t xml:space="preserve">Uwaga wyjaśniona. </w:t>
            </w:r>
          </w:p>
          <w:p w14:paraId="564CB1FE" w14:textId="3EA760D4" w:rsidR="0075728B" w:rsidRPr="00577EDB" w:rsidRDefault="0075728B" w:rsidP="0042202B">
            <w:pPr>
              <w:rPr>
                <w:rFonts w:cstheme="minorHAnsi"/>
                <w:b/>
              </w:rPr>
            </w:pPr>
            <w:r w:rsidRPr="00577EDB">
              <w:rPr>
                <w:rFonts w:cstheme="minorHAnsi"/>
                <w:b/>
              </w:rPr>
              <w:t xml:space="preserve">W dniu 1 lipca 2023 r. weszła w życie ustawa z dnia 14 kwietnia 2023 r. o systemach homologacji pojazdów oraz ich wyposażenia (Dz. U. poz. 919), która służy stosowaniu na gruncie polskich regulacji unijnych rozporządzeń homologacyjnych, w tym rozporządzenia (UE) nr 168/2013 dla pojazdów kategorii L. </w:t>
            </w:r>
          </w:p>
          <w:p w14:paraId="7B473B2C" w14:textId="77777777" w:rsidR="0075728B" w:rsidRPr="00577EDB" w:rsidRDefault="0075728B" w:rsidP="0042202B">
            <w:pPr>
              <w:rPr>
                <w:rFonts w:cstheme="minorHAnsi"/>
                <w:b/>
              </w:rPr>
            </w:pPr>
          </w:p>
          <w:p w14:paraId="102BF625" w14:textId="3BCEF3D5" w:rsidR="0075728B" w:rsidRPr="00577EDB" w:rsidRDefault="0075728B" w:rsidP="0042202B">
            <w:pPr>
              <w:rPr>
                <w:rFonts w:cstheme="minorHAnsi"/>
                <w:b/>
              </w:rPr>
            </w:pPr>
            <w:r w:rsidRPr="00577EDB">
              <w:rPr>
                <w:rFonts w:cstheme="minorHAnsi"/>
                <w:b/>
              </w:rPr>
              <w:t xml:space="preserve">Zharmonizowana na poziomie UE, w tym w Polsce procedura homologacji typu pojazdu w ramach ww. rozporządzenia UE 168/2013 obejmuje już swoim zakresem czterokołowce zwane potocznie quadami – są to pojazdy kategorii L6e i L7e sklasyfikowane w załączniku nr I do tego rozporządzenia.  </w:t>
            </w:r>
          </w:p>
          <w:p w14:paraId="25CC1E8F" w14:textId="0D6CF3F2" w:rsidR="0075728B" w:rsidRPr="00577EDB" w:rsidRDefault="0075728B" w:rsidP="0042202B">
            <w:pPr>
              <w:rPr>
                <w:rFonts w:cstheme="minorHAnsi"/>
                <w:b/>
              </w:rPr>
            </w:pPr>
            <w:r w:rsidRPr="00577EDB">
              <w:rPr>
                <w:rFonts w:cstheme="minorHAnsi"/>
                <w:b/>
              </w:rPr>
              <w:t xml:space="preserve">Obowiązująca na gruncie unijnym procedura homologacji typu pojazdu nie uwzględnia natomiast hulajnóg elektrycznych – poszczególne państwa członkowskie UE określają własne procedury krajowe – w zakresie PL wymagania od strony technicznej określone są w rozporządzeniu MI w sprawie warunków technicznych pojazdów i zakresu ich niezbędnego wyposażenia.  </w:t>
            </w:r>
          </w:p>
          <w:p w14:paraId="12E5D3B3" w14:textId="27D73BEB" w:rsidR="0075728B" w:rsidRPr="00577EDB" w:rsidRDefault="0075728B" w:rsidP="0042202B">
            <w:pPr>
              <w:rPr>
                <w:rFonts w:cstheme="minorHAnsi"/>
                <w:b/>
              </w:rPr>
            </w:pPr>
            <w:r w:rsidRPr="00577EDB">
              <w:rPr>
                <w:rFonts w:cstheme="minorHAnsi"/>
                <w:b/>
              </w:rPr>
              <w:t>Aktualnie nie planuje się wprowadzenia w PL obowiązkowej procedury homologacji dla hulajnóg elektrycznych</w:t>
            </w:r>
            <w:r>
              <w:rPr>
                <w:rFonts w:cstheme="minorHAnsi"/>
                <w:b/>
              </w:rPr>
              <w:t xml:space="preserve"> oraz wszystkich pojazdów czterokołowych wykraczających poza zakres rozporządzenia (UE) 168/2013</w:t>
            </w:r>
            <w:r w:rsidRPr="00577EDB">
              <w:rPr>
                <w:rFonts w:cstheme="minorHAnsi"/>
                <w:b/>
              </w:rPr>
              <w:t>.</w:t>
            </w:r>
          </w:p>
          <w:p w14:paraId="3783590A" w14:textId="70504E41" w:rsidR="0075728B" w:rsidRPr="00577EDB" w:rsidRDefault="0075728B" w:rsidP="0042202B">
            <w:pPr>
              <w:rPr>
                <w:rFonts w:cstheme="minorHAnsi"/>
                <w:b/>
              </w:rPr>
            </w:pPr>
            <w:r w:rsidRPr="00577EDB">
              <w:rPr>
                <w:rFonts w:cstheme="minorHAnsi"/>
                <w:b/>
              </w:rPr>
              <w:t>Z posiadanych informacji Komisja Europejska planuje rozpocząć prace na poziomie UE celem określenia unijnej  procedury homologacji typu dla pojazdów związanych z mikromobilnością takich jak hulajnogi elektryczne czy też urządzenia transportu osobistego, co spowoduje również potrzeb</w:t>
            </w:r>
            <w:r>
              <w:rPr>
                <w:rFonts w:cstheme="minorHAnsi"/>
                <w:b/>
              </w:rPr>
              <w:t>ę</w:t>
            </w:r>
            <w:r w:rsidRPr="00577EDB">
              <w:rPr>
                <w:rFonts w:cstheme="minorHAnsi"/>
                <w:b/>
              </w:rPr>
              <w:t xml:space="preserve"> zmiany w PL zasad dopuszczenia tych pojazdów do ruchu drogowego. </w:t>
            </w:r>
          </w:p>
          <w:p w14:paraId="470293BF" w14:textId="77777777" w:rsidR="0075728B" w:rsidRPr="00577EDB" w:rsidRDefault="0075728B" w:rsidP="0042202B">
            <w:pPr>
              <w:rPr>
                <w:rFonts w:cstheme="minorHAnsi"/>
                <w:b/>
              </w:rPr>
            </w:pPr>
          </w:p>
          <w:p w14:paraId="7F4D0137" w14:textId="53D6FC83" w:rsidR="0075728B" w:rsidRPr="00577EDB" w:rsidRDefault="0075728B" w:rsidP="0042202B">
            <w:pPr>
              <w:rPr>
                <w:rFonts w:cstheme="minorHAnsi"/>
                <w:b/>
              </w:rPr>
            </w:pPr>
            <w:r w:rsidRPr="00577EDB">
              <w:rPr>
                <w:rFonts w:cstheme="minorHAnsi"/>
                <w:b/>
              </w:rPr>
              <w:t>Proponowana aktualnie w UC95 kwestia objęcia nadzorem  Dyrektora TDT hulajnóg elektrycznych w zakresie spełniania przez nie krajowych warunków technicznych ma na celu wyeliminowanie z rynku tych hulajnóg, które nie spełniają wymagań (np. których konstrukcja umożliwia rozwijanie prędkości przekraczającej 20 km/h) i tym samym stwarzają zagrożenie dla uczestników ruchu drogowego.</w:t>
            </w:r>
          </w:p>
        </w:tc>
        <w:tc>
          <w:tcPr>
            <w:tcW w:w="3686" w:type="dxa"/>
          </w:tcPr>
          <w:p w14:paraId="581D2353" w14:textId="7B627C97" w:rsidR="00D76FE7" w:rsidRPr="00CD4436" w:rsidRDefault="00D76FE7" w:rsidP="0042202B">
            <w:pPr>
              <w:rPr>
                <w:rFonts w:cstheme="minorHAnsi"/>
                <w:b/>
              </w:rPr>
            </w:pPr>
            <w:bookmarkStart w:id="65" w:name="_Hlk231404601"/>
            <w:r w:rsidRPr="00CD4436">
              <w:rPr>
                <w:rFonts w:cstheme="minorHAnsi"/>
                <w:b/>
              </w:rPr>
              <w:t xml:space="preserve">Przyjęto do wiadomości wyjaśnienia w zakresie homologacji hulajnóg i pojazdów typu quad.  Wątpliwości budzi przedstawiona argumentacja jakoby wprowadzenie projektowanych przepisów było wystarczające do wyeliminowania (z rynku - i tu jak rozumiem chodzi wyłącznie o nowe pojazdy) hulajnóg niespełniających obowiązku ograniczenia prędkości do 20 km/h. Pojawia się pytanie co z hulajnogami, które już zostały zakupione i są użytkowane np. przez dzieci, czy również będą podlegały obowiązkowi dostosowania do projektowanych przepisów? Zaproponowana zmiana przepisów nie poprawi bezpieczeństwa najmłodszych (dzieci i młodzieży), którym rodzice kupili/kupują te pojazdy bez homologacji, bez obowiązku ubezpieczenia, czy posiadania odpowiednich uprawnień do kierowania takimi pojazdami. </w:t>
            </w:r>
          </w:p>
          <w:p w14:paraId="0C529CF1" w14:textId="200CDB59" w:rsidR="003D0573" w:rsidRPr="00CD4436" w:rsidRDefault="003D0573" w:rsidP="0042202B">
            <w:pPr>
              <w:rPr>
                <w:rFonts w:cstheme="minorHAnsi"/>
                <w:b/>
              </w:rPr>
            </w:pPr>
          </w:p>
          <w:p w14:paraId="0956CBAC" w14:textId="42C3B81F" w:rsidR="008F4C13" w:rsidRDefault="008F4C13" w:rsidP="0042202B">
            <w:pPr>
              <w:autoSpaceDE w:val="0"/>
              <w:autoSpaceDN w:val="0"/>
              <w:adjustRightInd w:val="0"/>
              <w:rPr>
                <w:rFonts w:cstheme="minorHAnsi"/>
                <w:b/>
                <w:color w:val="0070C0"/>
              </w:rPr>
            </w:pPr>
            <w:r w:rsidRPr="00CD4436">
              <w:rPr>
                <w:rFonts w:cstheme="minorHAnsi"/>
                <w:b/>
                <w:color w:val="0070C0"/>
              </w:rPr>
              <w:t xml:space="preserve">Resort infrastruktury rozpoczął prace legislacyjne w zakresie nowelizacji rozporządzenia Ministra Infrastruktury z dnia 31 grudnia </w:t>
            </w:r>
            <w:r w:rsidR="00CD4436">
              <w:rPr>
                <w:rFonts w:cstheme="minorHAnsi"/>
                <w:b/>
                <w:color w:val="0070C0"/>
              </w:rPr>
              <w:br/>
            </w:r>
            <w:r w:rsidRPr="00CD4436">
              <w:rPr>
                <w:rFonts w:cstheme="minorHAnsi"/>
                <w:b/>
                <w:color w:val="0070C0"/>
              </w:rPr>
              <w:t>2002 r. w sprawie warunków technicznych pojazdów oraz zakresu ich niezbędnego wyposażenia</w:t>
            </w:r>
            <w:r w:rsidR="00CD4436">
              <w:rPr>
                <w:rFonts w:cstheme="minorHAnsi"/>
                <w:b/>
                <w:color w:val="0070C0"/>
              </w:rPr>
              <w:t xml:space="preserve">, </w:t>
            </w:r>
            <w:r w:rsidRPr="00CD4436">
              <w:rPr>
                <w:rFonts w:cstheme="minorHAnsi"/>
                <w:b/>
                <w:color w:val="0070C0"/>
              </w:rPr>
              <w:t xml:space="preserve">aby uregulować ten temat od strony technicznej poprzez wprowadzenie wymogu w stosunku do budowy hulajnóg elektrycznych polegającego na uniemożliwieniu dokonywania zmian konstrukcyjnych skutkujących zmianą osiąganej przez ten pojazd prędkości maksymalnej na większą niż 20 km/h. </w:t>
            </w:r>
          </w:p>
          <w:p w14:paraId="5771C5F2" w14:textId="77777777" w:rsidR="00CD4436" w:rsidRPr="00CD4436" w:rsidRDefault="00CD4436" w:rsidP="0042202B">
            <w:pPr>
              <w:autoSpaceDE w:val="0"/>
              <w:autoSpaceDN w:val="0"/>
              <w:adjustRightInd w:val="0"/>
              <w:rPr>
                <w:rFonts w:cstheme="minorHAnsi"/>
                <w:b/>
                <w:color w:val="0070C0"/>
              </w:rPr>
            </w:pPr>
          </w:p>
          <w:p w14:paraId="5BD33428" w14:textId="0C03CF8A" w:rsidR="008F4C13" w:rsidRDefault="008F4C13" w:rsidP="0042202B">
            <w:pPr>
              <w:rPr>
                <w:rFonts w:cstheme="minorHAnsi"/>
                <w:b/>
                <w:color w:val="0070C0"/>
              </w:rPr>
            </w:pPr>
            <w:r w:rsidRPr="00CD4436">
              <w:rPr>
                <w:rFonts w:cstheme="minorHAnsi"/>
                <w:b/>
                <w:color w:val="0070C0"/>
              </w:rPr>
              <w:t xml:space="preserve">W kontekście powyższego wymogu w ramach UC95 Dyrektor </w:t>
            </w:r>
            <w:r w:rsidR="00CD4436" w:rsidRPr="00CD4436">
              <w:rPr>
                <w:rFonts w:cstheme="minorHAnsi"/>
                <w:b/>
                <w:color w:val="0070C0"/>
              </w:rPr>
              <w:t>TDT</w:t>
            </w:r>
            <w:r w:rsidRPr="00CD4436">
              <w:rPr>
                <w:rFonts w:cstheme="minorHAnsi"/>
                <w:b/>
                <w:color w:val="0070C0"/>
              </w:rPr>
              <w:t xml:space="preserve"> będzie organem właściwym do egzekwowania zakazu dopuszczania na Polski rynek takich pojazdów, posiadając uprawnienia do kontroli podmiotów gospodarczych (producentów/importerów/dystrybutorów)</w:t>
            </w:r>
            <w:r w:rsidR="00CD4436" w:rsidRPr="00CD4436">
              <w:rPr>
                <w:rFonts w:cstheme="minorHAnsi"/>
                <w:b/>
                <w:color w:val="0070C0"/>
              </w:rPr>
              <w:t xml:space="preserve"> </w:t>
            </w:r>
            <w:r w:rsidRPr="00CD4436">
              <w:rPr>
                <w:rFonts w:cstheme="minorHAnsi"/>
                <w:b/>
                <w:color w:val="0070C0"/>
              </w:rPr>
              <w:t>wprowadzających do obrotu w Polsce pojazdy.</w:t>
            </w:r>
          </w:p>
          <w:p w14:paraId="19E29D33" w14:textId="1498CF81" w:rsidR="00CD4436" w:rsidRPr="00CD4436" w:rsidRDefault="00CD4436" w:rsidP="0042202B">
            <w:pPr>
              <w:rPr>
                <w:rFonts w:cstheme="minorHAnsi"/>
                <w:b/>
                <w:color w:val="0070C0"/>
              </w:rPr>
            </w:pPr>
            <w:r>
              <w:rPr>
                <w:rFonts w:cstheme="minorHAnsi"/>
                <w:b/>
                <w:color w:val="0070C0"/>
              </w:rPr>
              <w:t>M</w:t>
            </w:r>
            <w:r w:rsidRPr="00CD4436">
              <w:rPr>
                <w:rFonts w:cstheme="minorHAnsi"/>
                <w:b/>
                <w:color w:val="0070C0"/>
              </w:rPr>
              <w:t>ożliwość przeprowadzania kontroli online i offline np. hulajnóg elektrycznych u podmiotów gospodarczych powinn</w:t>
            </w:r>
            <w:r>
              <w:rPr>
                <w:rFonts w:cstheme="minorHAnsi"/>
                <w:b/>
                <w:color w:val="0070C0"/>
              </w:rPr>
              <w:t>a</w:t>
            </w:r>
            <w:r w:rsidRPr="00CD4436">
              <w:rPr>
                <w:rFonts w:cstheme="minorHAnsi"/>
                <w:b/>
                <w:color w:val="0070C0"/>
              </w:rPr>
              <w:t xml:space="preserve"> ograniczyć ilość niezgodnych hulajnóg elektrycznych trafiających do użytkowników końcowych.</w:t>
            </w:r>
          </w:p>
          <w:p w14:paraId="02F724FD" w14:textId="77777777" w:rsidR="00CD4436" w:rsidRPr="00CD4436" w:rsidRDefault="00CD4436" w:rsidP="0042202B">
            <w:pPr>
              <w:rPr>
                <w:rFonts w:cstheme="minorHAnsi"/>
                <w:b/>
                <w:color w:val="0070C0"/>
              </w:rPr>
            </w:pPr>
          </w:p>
          <w:p w14:paraId="2555834C" w14:textId="77777777" w:rsidR="00CD4436" w:rsidRPr="00CD4436" w:rsidRDefault="00CD4436" w:rsidP="0042202B">
            <w:pPr>
              <w:autoSpaceDE w:val="0"/>
              <w:autoSpaceDN w:val="0"/>
              <w:rPr>
                <w:rFonts w:cstheme="minorHAnsi"/>
                <w:b/>
                <w:color w:val="0070C0"/>
              </w:rPr>
            </w:pPr>
            <w:r w:rsidRPr="00CD4436">
              <w:rPr>
                <w:rFonts w:cstheme="minorHAnsi"/>
                <w:b/>
                <w:color w:val="0070C0"/>
              </w:rPr>
              <w:t xml:space="preserve">Należy zauważyć, iż ocena zachowań uczestników ruchu drogowego oraz podejmowanie czynności kontrolnych i stosowanie sankcji karnych, znajdują się w kompetencjach organów uprawnionych do kontroli ruchu drogowego (Policji, straży miejskich oraz gminnych). Właściwe służby posiadają możliwość interwencji również w  przypadku pojazdów niezarejestrowanych. </w:t>
            </w:r>
          </w:p>
          <w:p w14:paraId="36294740" w14:textId="77777777" w:rsidR="00CD4436" w:rsidRDefault="00CD4436" w:rsidP="0042202B">
            <w:pPr>
              <w:rPr>
                <w:rFonts w:cstheme="minorHAnsi"/>
                <w:b/>
                <w:color w:val="0070C0"/>
              </w:rPr>
            </w:pPr>
          </w:p>
          <w:p w14:paraId="685B8971" w14:textId="473DE139" w:rsidR="00CD4436" w:rsidRPr="00CD4436" w:rsidRDefault="00CD4436" w:rsidP="0042202B">
            <w:pPr>
              <w:rPr>
                <w:rFonts w:cstheme="minorHAnsi"/>
                <w:b/>
                <w:color w:val="0070C0"/>
              </w:rPr>
            </w:pPr>
            <w:r>
              <w:rPr>
                <w:rFonts w:cstheme="minorHAnsi"/>
                <w:b/>
                <w:color w:val="0070C0"/>
              </w:rPr>
              <w:t>W tym kontekście w</w:t>
            </w:r>
            <w:r w:rsidR="008F4C13" w:rsidRPr="00CD4436">
              <w:rPr>
                <w:rFonts w:cstheme="minorHAnsi"/>
                <w:b/>
                <w:color w:val="0070C0"/>
              </w:rPr>
              <w:t xml:space="preserve"> projekcie UC95 zaproponowano</w:t>
            </w:r>
            <w:r w:rsidRPr="00CD4436">
              <w:rPr>
                <w:rFonts w:cstheme="minorHAnsi"/>
                <w:b/>
                <w:color w:val="0070C0"/>
              </w:rPr>
              <w:t xml:space="preserve"> </w:t>
            </w:r>
            <w:r w:rsidR="008F4C13" w:rsidRPr="00CD4436">
              <w:rPr>
                <w:rFonts w:cstheme="minorHAnsi"/>
                <w:b/>
                <w:color w:val="0070C0"/>
              </w:rPr>
              <w:t xml:space="preserve">rozszerzenie zakresu upoważnienia w ramach wykonywania kontroli ruchu drogowego przez strażników gminnych (miejskich) poprzez możliwość używania przez nich przyrządów kontrolnych lub pomiarowych służących do określania mocy i prędkości pojazdów. </w:t>
            </w:r>
          </w:p>
          <w:p w14:paraId="1DA85F00" w14:textId="77777777" w:rsidR="00CD4436" w:rsidRPr="00CD4436" w:rsidRDefault="00CD4436" w:rsidP="0042202B">
            <w:pPr>
              <w:rPr>
                <w:rFonts w:cstheme="minorHAnsi"/>
                <w:b/>
                <w:color w:val="0070C0"/>
              </w:rPr>
            </w:pPr>
          </w:p>
          <w:p w14:paraId="2869AB41" w14:textId="5B735BBF" w:rsidR="008F4C13" w:rsidRPr="00CD4436" w:rsidRDefault="00CD4436" w:rsidP="0042202B">
            <w:pPr>
              <w:pStyle w:val="ZUSTzmustartykuempunktem"/>
              <w:spacing w:line="240" w:lineRule="auto"/>
              <w:ind w:left="0" w:firstLine="0"/>
              <w:jc w:val="left"/>
              <w:rPr>
                <w:rFonts w:asciiTheme="minorHAnsi" w:eastAsiaTheme="minorHAnsi" w:hAnsiTheme="minorHAnsi" w:cstheme="minorHAnsi"/>
                <w:b/>
                <w:color w:val="0070C0"/>
                <w:sz w:val="22"/>
                <w:szCs w:val="22"/>
                <w:lang w:eastAsia="en-US"/>
              </w:rPr>
            </w:pPr>
            <w:r w:rsidRPr="00CD4436">
              <w:rPr>
                <w:rFonts w:asciiTheme="minorHAnsi" w:eastAsiaTheme="minorHAnsi" w:hAnsiTheme="minorHAnsi" w:cstheme="minorHAnsi"/>
                <w:b/>
                <w:color w:val="0070C0"/>
                <w:sz w:val="22"/>
                <w:szCs w:val="22"/>
                <w:lang w:eastAsia="en-US"/>
              </w:rPr>
              <w:t xml:space="preserve">Dyrektor TDT jako organ nadzoru rynku będzie mógł zawierać porozumienia z Policją lub Strażą gminną (miejską) dotyczące przekazania do użytkowania przyrządów do określania prędkości lub mocy pojazdów. </w:t>
            </w:r>
          </w:p>
          <w:p w14:paraId="4484742D" w14:textId="77777777" w:rsidR="008F4C13" w:rsidRPr="00CD4436" w:rsidRDefault="008F4C13" w:rsidP="0042202B">
            <w:pPr>
              <w:rPr>
                <w:rFonts w:cstheme="minorHAnsi"/>
                <w:b/>
                <w:color w:val="0070C0"/>
              </w:rPr>
            </w:pPr>
          </w:p>
          <w:p w14:paraId="2847A805" w14:textId="4C58C1D3" w:rsidR="003D0573" w:rsidRPr="00CD4436" w:rsidRDefault="00CD4436" w:rsidP="0042202B">
            <w:pPr>
              <w:rPr>
                <w:rFonts w:cstheme="minorHAnsi"/>
                <w:b/>
                <w:color w:val="0070C0"/>
              </w:rPr>
            </w:pPr>
            <w:r w:rsidRPr="00CD4436">
              <w:rPr>
                <w:rFonts w:cstheme="minorHAnsi"/>
                <w:b/>
                <w:color w:val="0070C0"/>
              </w:rPr>
              <w:t>Zachowanie maksymalnej prędkości na poziomie 20 km/h przyczyni się do minimalizacji skutków wypadków spowodowanych przez kierujących tego typu pojazdami z nadmierną prędkością, co ma szczególnie istotne znaczenie w przypadku poruszania się takiego pojazdu po chodniku wśród pieszych.</w:t>
            </w:r>
          </w:p>
          <w:p w14:paraId="3095F19B" w14:textId="77777777" w:rsidR="002B1220" w:rsidRPr="00CD4436" w:rsidRDefault="002B1220" w:rsidP="0042202B">
            <w:pPr>
              <w:rPr>
                <w:rFonts w:cstheme="minorHAnsi"/>
                <w:b/>
              </w:rPr>
            </w:pPr>
          </w:p>
          <w:bookmarkEnd w:id="65"/>
          <w:p w14:paraId="24598B72" w14:textId="1153D4F3" w:rsidR="0075728B" w:rsidRPr="00CD4436" w:rsidRDefault="0075728B" w:rsidP="0042202B">
            <w:pPr>
              <w:rPr>
                <w:rFonts w:cstheme="minorHAnsi"/>
                <w:b/>
              </w:rPr>
            </w:pPr>
          </w:p>
        </w:tc>
      </w:tr>
      <w:bookmarkEnd w:id="64"/>
      <w:tr w:rsidR="0075728B" w:rsidRPr="00F515D6" w14:paraId="65EDAD1C" w14:textId="1A476C4F" w:rsidTr="00D76FE7">
        <w:tc>
          <w:tcPr>
            <w:tcW w:w="562" w:type="dxa"/>
          </w:tcPr>
          <w:p w14:paraId="26B35A7E" w14:textId="77777777" w:rsidR="0075728B" w:rsidRPr="00CA3496" w:rsidRDefault="0075728B" w:rsidP="0042202B">
            <w:pPr>
              <w:rPr>
                <w:rFonts w:cstheme="minorHAnsi"/>
                <w:b/>
              </w:rPr>
            </w:pPr>
            <w:r w:rsidRPr="00CA3496">
              <w:rPr>
                <w:rFonts w:cstheme="minorHAnsi"/>
                <w:b/>
              </w:rPr>
              <w:t>106</w:t>
            </w:r>
          </w:p>
        </w:tc>
        <w:tc>
          <w:tcPr>
            <w:tcW w:w="993" w:type="dxa"/>
          </w:tcPr>
          <w:p w14:paraId="49A364FF" w14:textId="77777777" w:rsidR="0075728B" w:rsidRPr="00CA3496" w:rsidRDefault="0075728B" w:rsidP="0042202B">
            <w:pPr>
              <w:rPr>
                <w:rFonts w:cstheme="minorHAnsi"/>
                <w:b/>
              </w:rPr>
            </w:pPr>
            <w:r w:rsidRPr="00CA3496">
              <w:rPr>
                <w:rFonts w:cstheme="minorHAnsi"/>
                <w:b/>
              </w:rPr>
              <w:t>MFiG</w:t>
            </w:r>
          </w:p>
        </w:tc>
        <w:tc>
          <w:tcPr>
            <w:tcW w:w="1701" w:type="dxa"/>
          </w:tcPr>
          <w:p w14:paraId="1C666095" w14:textId="77777777" w:rsidR="0075728B" w:rsidRPr="00CA3496" w:rsidRDefault="0075728B" w:rsidP="0042202B">
            <w:pPr>
              <w:rPr>
                <w:rFonts w:cstheme="minorHAnsi"/>
                <w:b/>
              </w:rPr>
            </w:pPr>
            <w:r w:rsidRPr="00CA3496">
              <w:rPr>
                <w:rFonts w:cstheme="minorHAnsi"/>
                <w:b/>
              </w:rPr>
              <w:t>Pkt 6 OSR</w:t>
            </w:r>
          </w:p>
        </w:tc>
        <w:tc>
          <w:tcPr>
            <w:tcW w:w="5953" w:type="dxa"/>
          </w:tcPr>
          <w:p w14:paraId="1E93F4B8" w14:textId="706DEA00" w:rsidR="0075728B" w:rsidRPr="00CA3496" w:rsidRDefault="0075728B" w:rsidP="0042202B">
            <w:pPr>
              <w:autoSpaceDE w:val="0"/>
              <w:autoSpaceDN w:val="0"/>
              <w:adjustRightInd w:val="0"/>
              <w:rPr>
                <w:rFonts w:cstheme="minorHAnsi"/>
                <w:b/>
              </w:rPr>
            </w:pPr>
            <w:r w:rsidRPr="00CA3496">
              <w:rPr>
                <w:rFonts w:cstheme="minorHAnsi"/>
                <w:b/>
              </w:rPr>
              <w:t xml:space="preserve">OSR w pkt 6 </w:t>
            </w:r>
            <w:r w:rsidRPr="00CA3496">
              <w:rPr>
                <w:rFonts w:cstheme="minorHAnsi"/>
                <w:b/>
                <w:i/>
                <w:iCs/>
              </w:rPr>
              <w:t xml:space="preserve">Wpływ na sektor finansów publicznych </w:t>
            </w:r>
            <w:r w:rsidRPr="00CA3496">
              <w:rPr>
                <w:rFonts w:cstheme="minorHAnsi"/>
                <w:b/>
              </w:rPr>
              <w:t xml:space="preserve">powinien zawierać jednoznaczne i kompletne informacje nt. przewidywanych skutków finansowych wynikających z projektu. Jak wynika z tabeli proponowane rozwiązania będą miały wpływ na sektor finansów publicznych, w tym także na budżet państwa. Zauważam, iż ww. tabela została skonstruowana w sposób nieprawidłowy – w jednej rubryce umieszczono dane dotyczące dochodów budżetu państwa i dochodów państwowych funduszy celowych (fundusze celowe nie są częścią budżetu państwa) i należy dane ich dotyczące umieścić w rubryce pozostałe jednostki (oddzielnie). Ponadto wyodrębniono dochody i wydatki różnych jednostek zamiast umieścić je w rubryce pozostałe jednostki (oddzielnie dla każdej z nich). </w:t>
            </w:r>
          </w:p>
          <w:p w14:paraId="2D20005A" w14:textId="3F3666D7" w:rsidR="0075728B" w:rsidRPr="00CA3496" w:rsidRDefault="0075728B" w:rsidP="0042202B">
            <w:pPr>
              <w:autoSpaceDE w:val="0"/>
              <w:autoSpaceDN w:val="0"/>
              <w:adjustRightInd w:val="0"/>
              <w:rPr>
                <w:rFonts w:cstheme="minorHAnsi"/>
                <w:b/>
              </w:rPr>
            </w:pPr>
            <w:r w:rsidRPr="00CA3496">
              <w:rPr>
                <w:rFonts w:cstheme="minorHAnsi"/>
                <w:b/>
              </w:rPr>
              <w:t>Dodatkowo w tabeli uwzględniono jednostki nie będące jednostkami sektora finansów publicznych jak np. Instytut Transportu Samochodowego.  Szczegółowe dane i wyliczenia należy zamieścić w załączniku, a w OSR zbiorcze wyliczenia dotyczące poszczególnych jednostek sektora finansów publicznych. W związku z ww. niejasnościami nie jest możliwa ocena faktycznego wpływy projektowanych regulacji na jednostki sektora finansów publicznych, w tym na budżet państwa.</w:t>
            </w:r>
          </w:p>
        </w:tc>
        <w:tc>
          <w:tcPr>
            <w:tcW w:w="3827" w:type="dxa"/>
          </w:tcPr>
          <w:p w14:paraId="3FBA3770" w14:textId="1F79E055" w:rsidR="0075728B" w:rsidRPr="00CA3496" w:rsidRDefault="0075728B" w:rsidP="0042202B">
            <w:pPr>
              <w:rPr>
                <w:rFonts w:cstheme="minorHAnsi"/>
                <w:b/>
              </w:rPr>
            </w:pPr>
            <w:r w:rsidRPr="00CA3496">
              <w:rPr>
                <w:rFonts w:cstheme="minorHAnsi"/>
                <w:b/>
              </w:rPr>
              <w:t xml:space="preserve">Wprowadzono </w:t>
            </w:r>
            <w:r>
              <w:rPr>
                <w:rFonts w:cstheme="minorHAnsi"/>
                <w:b/>
              </w:rPr>
              <w:t xml:space="preserve">stosowne </w:t>
            </w:r>
            <w:r w:rsidRPr="00CA3496">
              <w:rPr>
                <w:rFonts w:cstheme="minorHAnsi"/>
                <w:b/>
              </w:rPr>
              <w:t xml:space="preserve">zmiany w OSR. </w:t>
            </w:r>
          </w:p>
        </w:tc>
        <w:tc>
          <w:tcPr>
            <w:tcW w:w="3686" w:type="dxa"/>
          </w:tcPr>
          <w:p w14:paraId="5B1F21C7" w14:textId="77777777" w:rsidR="0075728B" w:rsidRDefault="0075728B" w:rsidP="0042202B">
            <w:pPr>
              <w:rPr>
                <w:rFonts w:cstheme="minorHAnsi"/>
                <w:b/>
              </w:rPr>
            </w:pPr>
            <w:r>
              <w:rPr>
                <w:rFonts w:cstheme="minorHAnsi"/>
                <w:b/>
              </w:rPr>
              <w:t xml:space="preserve">Akceptacja </w:t>
            </w:r>
          </w:p>
          <w:p w14:paraId="759D66DF" w14:textId="77777777" w:rsidR="00F96EBD" w:rsidRDefault="00F96EBD" w:rsidP="0042202B">
            <w:pPr>
              <w:rPr>
                <w:rFonts w:cstheme="minorHAnsi"/>
                <w:b/>
              </w:rPr>
            </w:pPr>
          </w:p>
          <w:p w14:paraId="4112C8A6" w14:textId="3FF276D8" w:rsidR="00F96EBD" w:rsidRPr="00CA3496" w:rsidRDefault="00CD4436" w:rsidP="0042202B">
            <w:pPr>
              <w:rPr>
                <w:rFonts w:cstheme="minorHAnsi"/>
                <w:b/>
              </w:rPr>
            </w:pPr>
            <w:r>
              <w:rPr>
                <w:rFonts w:cstheme="minorHAnsi"/>
                <w:b/>
                <w:color w:val="0070C0"/>
              </w:rPr>
              <w:t xml:space="preserve">Dodatkowa informacja: </w:t>
            </w:r>
            <w:r w:rsidR="00F96EBD" w:rsidRPr="00CD2E8F">
              <w:rPr>
                <w:rFonts w:cstheme="minorHAnsi"/>
                <w:b/>
                <w:color w:val="0070C0"/>
              </w:rPr>
              <w:t xml:space="preserve">ITS został wykreślony z katalogu podmiotów mogących prowadzić szkolenia diagnostów na potrzeby </w:t>
            </w:r>
            <w:r w:rsidR="00CD2E8F" w:rsidRPr="00CD2E8F">
              <w:rPr>
                <w:rFonts w:cstheme="minorHAnsi"/>
                <w:b/>
                <w:color w:val="0070C0"/>
              </w:rPr>
              <w:t xml:space="preserve">nowej </w:t>
            </w:r>
            <w:r w:rsidR="00F96EBD" w:rsidRPr="00CD2E8F">
              <w:rPr>
                <w:rFonts w:cstheme="minorHAnsi"/>
                <w:b/>
                <w:color w:val="0070C0"/>
              </w:rPr>
              <w:t xml:space="preserve">procedury </w:t>
            </w:r>
            <w:r w:rsidR="00CD2E8F" w:rsidRPr="00CD2E8F">
              <w:rPr>
                <w:rFonts w:cstheme="minorHAnsi"/>
                <w:b/>
                <w:color w:val="0070C0"/>
              </w:rPr>
              <w:t>dopuszczenia indywidualnego</w:t>
            </w:r>
            <w:r w:rsidR="006F5BB5">
              <w:rPr>
                <w:rFonts w:cstheme="minorHAnsi"/>
                <w:b/>
                <w:color w:val="0070C0"/>
              </w:rPr>
              <w:t xml:space="preserve"> – zatem nie jest już uwzględniony w OSR</w:t>
            </w:r>
            <w:r w:rsidR="00CD2E8F" w:rsidRPr="00CD2E8F">
              <w:rPr>
                <w:rFonts w:cstheme="minorHAnsi"/>
                <w:b/>
                <w:color w:val="0070C0"/>
              </w:rPr>
              <w:t xml:space="preserve">. </w:t>
            </w:r>
          </w:p>
        </w:tc>
      </w:tr>
      <w:tr w:rsidR="0075728B" w:rsidRPr="00F515D6" w14:paraId="694D023A" w14:textId="08A859C1" w:rsidTr="00D76FE7">
        <w:tc>
          <w:tcPr>
            <w:tcW w:w="562" w:type="dxa"/>
          </w:tcPr>
          <w:p w14:paraId="6A16FAD0" w14:textId="77777777" w:rsidR="0075728B" w:rsidRPr="00957D8C" w:rsidRDefault="0075728B" w:rsidP="0042202B">
            <w:pPr>
              <w:rPr>
                <w:rFonts w:cstheme="minorHAnsi"/>
                <w:b/>
              </w:rPr>
            </w:pPr>
            <w:r w:rsidRPr="00957D8C">
              <w:rPr>
                <w:rFonts w:cstheme="minorHAnsi"/>
                <w:b/>
              </w:rPr>
              <w:t>107</w:t>
            </w:r>
          </w:p>
        </w:tc>
        <w:tc>
          <w:tcPr>
            <w:tcW w:w="993" w:type="dxa"/>
          </w:tcPr>
          <w:p w14:paraId="0EA0F022" w14:textId="77777777" w:rsidR="0075728B" w:rsidRPr="00957D8C" w:rsidRDefault="0075728B" w:rsidP="0042202B">
            <w:pPr>
              <w:rPr>
                <w:rFonts w:cstheme="minorHAnsi"/>
                <w:b/>
              </w:rPr>
            </w:pPr>
            <w:r w:rsidRPr="00957D8C">
              <w:rPr>
                <w:rFonts w:cstheme="minorHAnsi"/>
                <w:b/>
              </w:rPr>
              <w:t>MFiG</w:t>
            </w:r>
          </w:p>
        </w:tc>
        <w:tc>
          <w:tcPr>
            <w:tcW w:w="1701" w:type="dxa"/>
          </w:tcPr>
          <w:p w14:paraId="4F28F169" w14:textId="77777777" w:rsidR="0075728B" w:rsidRPr="00957D8C" w:rsidRDefault="0075728B" w:rsidP="0042202B">
            <w:pPr>
              <w:rPr>
                <w:rFonts w:cstheme="minorHAnsi"/>
                <w:b/>
              </w:rPr>
            </w:pPr>
            <w:r w:rsidRPr="00957D8C">
              <w:rPr>
                <w:rFonts w:cstheme="minorHAnsi"/>
                <w:b/>
              </w:rPr>
              <w:t>Pkt 6 OSR</w:t>
            </w:r>
          </w:p>
        </w:tc>
        <w:tc>
          <w:tcPr>
            <w:tcW w:w="5953" w:type="dxa"/>
          </w:tcPr>
          <w:p w14:paraId="65DE4B86" w14:textId="0D68527A" w:rsidR="0075728B" w:rsidRPr="00957D8C" w:rsidRDefault="0075728B" w:rsidP="0042202B">
            <w:pPr>
              <w:autoSpaceDE w:val="0"/>
              <w:autoSpaceDN w:val="0"/>
              <w:adjustRightInd w:val="0"/>
              <w:rPr>
                <w:rFonts w:cstheme="minorHAnsi"/>
                <w:b/>
              </w:rPr>
            </w:pPr>
            <w:r w:rsidRPr="00957D8C">
              <w:rPr>
                <w:rFonts w:cstheme="minorHAnsi"/>
                <w:b/>
              </w:rPr>
              <w:t>W OSR należy ponownie przeliczyć wydatki i wpływy zaprezentowane  w tabeli w punkcie 6 - wpływ na sektor (...). W tej chwili dodatkowe informacje prezentowane są w formie nieczytelnej i nie mają pokrycia w wyliczeniach zaprezentowanych w tabeli. Niezależnie od powyższego prosimy o weryfikację zasadności tak znaczących kosztów związanych z wykonywaniem przez TDT zadań.</w:t>
            </w:r>
          </w:p>
        </w:tc>
        <w:tc>
          <w:tcPr>
            <w:tcW w:w="3827" w:type="dxa"/>
          </w:tcPr>
          <w:p w14:paraId="1C043AB5" w14:textId="529AD23F" w:rsidR="0075728B" w:rsidRPr="00957D8C" w:rsidRDefault="0075728B" w:rsidP="0042202B">
            <w:pPr>
              <w:rPr>
                <w:rFonts w:cstheme="minorHAnsi"/>
                <w:b/>
              </w:rPr>
            </w:pPr>
            <w:r w:rsidRPr="00957D8C">
              <w:rPr>
                <w:rFonts w:cstheme="minorHAnsi"/>
                <w:b/>
              </w:rPr>
              <w:t xml:space="preserve">Wprowadzono </w:t>
            </w:r>
            <w:r>
              <w:rPr>
                <w:rFonts w:cstheme="minorHAnsi"/>
                <w:b/>
              </w:rPr>
              <w:t xml:space="preserve">stosowne </w:t>
            </w:r>
            <w:r w:rsidRPr="00957D8C">
              <w:rPr>
                <w:rFonts w:cstheme="minorHAnsi"/>
                <w:b/>
              </w:rPr>
              <w:t>zmiany w OSR</w:t>
            </w:r>
            <w:r>
              <w:rPr>
                <w:rFonts w:cstheme="minorHAnsi"/>
                <w:b/>
              </w:rPr>
              <w:t>, w tym dokonano weryfikacji kosztów związanych z wykonywaniem przez TDT zadań, w tym w kontekście nadzoru rynku i zmniejszenia zatrudnienia w tym obszarze</w:t>
            </w:r>
            <w:r w:rsidRPr="00957D8C">
              <w:rPr>
                <w:rFonts w:cstheme="minorHAnsi"/>
                <w:b/>
              </w:rPr>
              <w:t xml:space="preserve">. </w:t>
            </w:r>
          </w:p>
        </w:tc>
        <w:tc>
          <w:tcPr>
            <w:tcW w:w="3686" w:type="dxa"/>
          </w:tcPr>
          <w:p w14:paraId="3D880599" w14:textId="3DD3E65A" w:rsidR="0075728B" w:rsidRPr="00957D8C" w:rsidRDefault="0075728B" w:rsidP="0042202B">
            <w:pPr>
              <w:rPr>
                <w:rFonts w:cstheme="minorHAnsi"/>
                <w:b/>
              </w:rPr>
            </w:pPr>
            <w:r>
              <w:rPr>
                <w:rFonts w:cstheme="minorHAnsi"/>
                <w:b/>
              </w:rPr>
              <w:t xml:space="preserve">Akceptacja </w:t>
            </w:r>
          </w:p>
        </w:tc>
      </w:tr>
      <w:tr w:rsidR="0075728B" w:rsidRPr="00F515D6" w14:paraId="412E997D" w14:textId="264B992C" w:rsidTr="00D76FE7">
        <w:tc>
          <w:tcPr>
            <w:tcW w:w="562" w:type="dxa"/>
          </w:tcPr>
          <w:p w14:paraId="4A5B480E" w14:textId="77777777" w:rsidR="0075728B" w:rsidRPr="00577EDB" w:rsidRDefault="0075728B" w:rsidP="0042202B">
            <w:pPr>
              <w:rPr>
                <w:rFonts w:cstheme="minorHAnsi"/>
                <w:b/>
              </w:rPr>
            </w:pPr>
            <w:r w:rsidRPr="00577EDB">
              <w:rPr>
                <w:rFonts w:cstheme="minorHAnsi"/>
                <w:b/>
              </w:rPr>
              <w:t>108</w:t>
            </w:r>
          </w:p>
        </w:tc>
        <w:tc>
          <w:tcPr>
            <w:tcW w:w="993" w:type="dxa"/>
          </w:tcPr>
          <w:p w14:paraId="2AE82AE3" w14:textId="77777777" w:rsidR="0075728B" w:rsidRPr="00577EDB" w:rsidRDefault="0075728B" w:rsidP="0042202B">
            <w:pPr>
              <w:rPr>
                <w:rFonts w:cstheme="minorHAnsi"/>
                <w:b/>
              </w:rPr>
            </w:pPr>
            <w:r w:rsidRPr="00577EDB">
              <w:rPr>
                <w:rFonts w:cstheme="minorHAnsi"/>
                <w:b/>
              </w:rPr>
              <w:t>MFiG</w:t>
            </w:r>
          </w:p>
        </w:tc>
        <w:tc>
          <w:tcPr>
            <w:tcW w:w="1701" w:type="dxa"/>
          </w:tcPr>
          <w:p w14:paraId="27C20C3A" w14:textId="77777777" w:rsidR="0075728B" w:rsidRPr="00577EDB" w:rsidRDefault="0075728B" w:rsidP="0042202B">
            <w:pPr>
              <w:rPr>
                <w:rFonts w:cstheme="minorHAnsi"/>
                <w:b/>
              </w:rPr>
            </w:pPr>
            <w:r w:rsidRPr="00577EDB">
              <w:rPr>
                <w:rFonts w:cstheme="minorHAnsi"/>
                <w:b/>
              </w:rPr>
              <w:t>Pkt 6 OSR</w:t>
            </w:r>
          </w:p>
        </w:tc>
        <w:tc>
          <w:tcPr>
            <w:tcW w:w="5953" w:type="dxa"/>
          </w:tcPr>
          <w:p w14:paraId="0D94A56C" w14:textId="15AA2F4C" w:rsidR="0075728B" w:rsidRPr="00577EDB" w:rsidRDefault="0075728B" w:rsidP="0042202B">
            <w:pPr>
              <w:autoSpaceDE w:val="0"/>
              <w:autoSpaceDN w:val="0"/>
              <w:adjustRightInd w:val="0"/>
              <w:rPr>
                <w:rFonts w:cstheme="minorHAnsi"/>
                <w:b/>
              </w:rPr>
            </w:pPr>
            <w:bookmarkStart w:id="66" w:name="_Hlk212638414"/>
            <w:r w:rsidRPr="00577EDB">
              <w:rPr>
                <w:rFonts w:cstheme="minorHAnsi"/>
                <w:b/>
              </w:rPr>
              <w:t xml:space="preserve">W pkt 6 OSR </w:t>
            </w:r>
            <w:bookmarkStart w:id="67" w:name="_Hlk210204597"/>
            <w:r w:rsidRPr="00577EDB">
              <w:rPr>
                <w:rFonts w:cstheme="minorHAnsi"/>
                <w:b/>
                <w:i/>
                <w:iCs/>
              </w:rPr>
              <w:t xml:space="preserve">Wpływ na sektor finansów publicznych </w:t>
            </w:r>
            <w:r w:rsidRPr="00577EDB">
              <w:rPr>
                <w:rFonts w:cstheme="minorHAnsi"/>
                <w:b/>
              </w:rPr>
              <w:t xml:space="preserve">w części </w:t>
            </w:r>
            <w:bookmarkEnd w:id="67"/>
            <w:r w:rsidRPr="00577EDB">
              <w:rPr>
                <w:rFonts w:cstheme="minorHAnsi"/>
                <w:b/>
                <w:i/>
                <w:iCs/>
              </w:rPr>
              <w:t xml:space="preserve">Źródła finansowania </w:t>
            </w:r>
            <w:r w:rsidRPr="00577EDB">
              <w:rPr>
                <w:rFonts w:cstheme="minorHAnsi"/>
                <w:b/>
              </w:rPr>
              <w:t>wskazano, że szacowany maksymalny koszt realizacji dostosowania systemu CEP do obsługi wystawianych w postaci elektronicznej świadectw zgodności  obejmującej obsługę krajowej komunikacji w zakresie tych świadczeń zgodności nie powinien przekroczyć netto 4 mln zł, brutto 4,92 mln zł, a jako źródło finasowania podano cz. 27 Fundusz celowy – CEPiK – brak zwiększenia wydatków.</w:t>
            </w:r>
            <w:r>
              <w:rPr>
                <w:rFonts w:cstheme="minorHAnsi"/>
                <w:b/>
              </w:rPr>
              <w:t xml:space="preserve"> </w:t>
            </w:r>
            <w:r w:rsidRPr="00577EDB">
              <w:rPr>
                <w:rFonts w:cstheme="minorHAnsi"/>
                <w:b/>
              </w:rPr>
              <w:t>W OSR należy jednoznacznie wskazać, czy przedmiotowe koszty będą finansowane z cz. 27 – Informatyzacja, czy też w ramach wydatków ujętych w planie finansowym Funduszu CEPiK. Ponadto w OSR powinna się znaleźć informacja, że koszty te zostaną sfinansowane w ramach limitów wydatków planowanych corocznie w ustawach budżetowych, bez konieczności ubiegania się o dodatkowe środki na ten cel z budżetu państwa.</w:t>
            </w:r>
            <w:bookmarkEnd w:id="66"/>
          </w:p>
        </w:tc>
        <w:tc>
          <w:tcPr>
            <w:tcW w:w="3827" w:type="dxa"/>
          </w:tcPr>
          <w:p w14:paraId="4C20F96D" w14:textId="144CD604" w:rsidR="0075728B" w:rsidRPr="00577EDB" w:rsidRDefault="0075728B" w:rsidP="0042202B">
            <w:pPr>
              <w:rPr>
                <w:rFonts w:cstheme="minorHAnsi"/>
                <w:b/>
              </w:rPr>
            </w:pPr>
            <w:r w:rsidRPr="000C63DF">
              <w:rPr>
                <w:rFonts w:cstheme="minorHAnsi"/>
                <w:b/>
              </w:rPr>
              <w:t>Uwaga uwzględniona - informacja COI dodana do OSR:</w:t>
            </w:r>
          </w:p>
          <w:p w14:paraId="55B0D0C7" w14:textId="77777777" w:rsidR="0075728B" w:rsidRPr="00957D8C" w:rsidRDefault="0075728B" w:rsidP="0042202B">
            <w:pPr>
              <w:rPr>
                <w:b/>
                <w:i/>
              </w:rPr>
            </w:pPr>
            <w:r w:rsidRPr="00957D8C">
              <w:rPr>
                <w:rFonts w:ascii="Aptos" w:hAnsi="Aptos"/>
                <w:b/>
                <w:i/>
              </w:rPr>
              <w:t xml:space="preserve">Wydatki związane z dostosowaniem systemu CEPiK do zmian wprowadzanych w niniejszym projekcie zostaną pokryte ze środków Funduszu Celowego – Centralna Ewidencja Pojazdów i Kierowców - </w:t>
            </w:r>
            <w:r w:rsidRPr="00957D8C">
              <w:rPr>
                <w:b/>
                <w:i/>
              </w:rPr>
              <w:t>w ramach wydatków ujętych w planie finansowym Funduszu CEPiK – bez konieczności ubiegania się o dodatkowe środki na ten cel z budżetu państwa.</w:t>
            </w:r>
          </w:p>
          <w:p w14:paraId="1A9AD6C9" w14:textId="2CD03F81" w:rsidR="0075728B" w:rsidRPr="00577EDB" w:rsidRDefault="0075728B" w:rsidP="0042202B">
            <w:pPr>
              <w:rPr>
                <w:rFonts w:cstheme="minorHAnsi"/>
                <w:b/>
              </w:rPr>
            </w:pPr>
          </w:p>
        </w:tc>
        <w:tc>
          <w:tcPr>
            <w:tcW w:w="3686" w:type="dxa"/>
          </w:tcPr>
          <w:p w14:paraId="3D3FF79D" w14:textId="45FFFBD3" w:rsidR="0075728B" w:rsidRPr="000C63DF" w:rsidRDefault="0075728B" w:rsidP="0042202B">
            <w:pPr>
              <w:rPr>
                <w:rFonts w:cstheme="minorHAnsi"/>
                <w:b/>
              </w:rPr>
            </w:pPr>
            <w:r>
              <w:rPr>
                <w:rFonts w:cstheme="minorHAnsi"/>
                <w:b/>
              </w:rPr>
              <w:t xml:space="preserve">Akceptacja </w:t>
            </w:r>
          </w:p>
        </w:tc>
      </w:tr>
      <w:tr w:rsidR="0075728B" w:rsidRPr="00F515D6" w14:paraId="2F3DA4F4" w14:textId="5A0B1893" w:rsidTr="00D76FE7">
        <w:tc>
          <w:tcPr>
            <w:tcW w:w="562" w:type="dxa"/>
          </w:tcPr>
          <w:p w14:paraId="33C31A4A" w14:textId="77777777" w:rsidR="0075728B" w:rsidRPr="00957D8C" w:rsidRDefault="0075728B" w:rsidP="0042202B">
            <w:pPr>
              <w:rPr>
                <w:rFonts w:cstheme="minorHAnsi"/>
                <w:b/>
              </w:rPr>
            </w:pPr>
            <w:r w:rsidRPr="00957D8C">
              <w:rPr>
                <w:rFonts w:cstheme="minorHAnsi"/>
                <w:b/>
              </w:rPr>
              <w:t>109</w:t>
            </w:r>
          </w:p>
        </w:tc>
        <w:tc>
          <w:tcPr>
            <w:tcW w:w="993" w:type="dxa"/>
          </w:tcPr>
          <w:p w14:paraId="5ED46677" w14:textId="77777777" w:rsidR="0075728B" w:rsidRPr="00957D8C" w:rsidRDefault="0075728B" w:rsidP="0042202B">
            <w:pPr>
              <w:rPr>
                <w:rFonts w:cstheme="minorHAnsi"/>
                <w:b/>
              </w:rPr>
            </w:pPr>
            <w:r w:rsidRPr="00957D8C">
              <w:rPr>
                <w:rFonts w:cstheme="minorHAnsi"/>
                <w:b/>
              </w:rPr>
              <w:t>MFiG</w:t>
            </w:r>
          </w:p>
        </w:tc>
        <w:tc>
          <w:tcPr>
            <w:tcW w:w="1701" w:type="dxa"/>
          </w:tcPr>
          <w:p w14:paraId="156BDE6A" w14:textId="77777777" w:rsidR="0075728B" w:rsidRPr="00957D8C" w:rsidRDefault="0075728B" w:rsidP="0042202B">
            <w:pPr>
              <w:rPr>
                <w:rFonts w:cstheme="minorHAnsi"/>
                <w:b/>
              </w:rPr>
            </w:pPr>
            <w:r w:rsidRPr="00957D8C">
              <w:rPr>
                <w:rFonts w:cstheme="minorHAnsi"/>
                <w:b/>
              </w:rPr>
              <w:t>Pkt 6 OSR</w:t>
            </w:r>
          </w:p>
        </w:tc>
        <w:tc>
          <w:tcPr>
            <w:tcW w:w="5953" w:type="dxa"/>
          </w:tcPr>
          <w:p w14:paraId="664053A9" w14:textId="77777777" w:rsidR="0075728B" w:rsidRPr="00957D8C" w:rsidRDefault="0075728B" w:rsidP="0042202B">
            <w:pPr>
              <w:autoSpaceDE w:val="0"/>
              <w:autoSpaceDN w:val="0"/>
              <w:adjustRightInd w:val="0"/>
              <w:rPr>
                <w:rFonts w:cstheme="minorHAnsi"/>
                <w:b/>
                <w:i/>
                <w:iCs/>
              </w:rPr>
            </w:pPr>
            <w:r w:rsidRPr="00957D8C">
              <w:rPr>
                <w:rFonts w:cstheme="minorHAnsi"/>
                <w:b/>
              </w:rPr>
              <w:t xml:space="preserve">Pkt 6 OSR </w:t>
            </w:r>
            <w:r w:rsidRPr="00957D8C">
              <w:rPr>
                <w:rFonts w:cstheme="minorHAnsi"/>
                <w:b/>
                <w:i/>
                <w:iCs/>
              </w:rPr>
              <w:t xml:space="preserve">Wpływ na sektor finansów publicznych </w:t>
            </w:r>
            <w:r w:rsidRPr="00957D8C">
              <w:rPr>
                <w:rFonts w:cstheme="minorHAnsi"/>
                <w:b/>
              </w:rPr>
              <w:t xml:space="preserve">z części </w:t>
            </w:r>
            <w:r w:rsidRPr="00957D8C">
              <w:rPr>
                <w:rFonts w:cstheme="minorHAnsi"/>
                <w:b/>
                <w:i/>
                <w:iCs/>
              </w:rPr>
              <w:t xml:space="preserve">Dodatkowe informacje (…) </w:t>
            </w:r>
            <w:r w:rsidRPr="00957D8C">
              <w:rPr>
                <w:rFonts w:cstheme="minorHAnsi"/>
                <w:b/>
              </w:rPr>
              <w:t xml:space="preserve">wynika, że przy kalkulacji skutków wynagrodzeń pracowników uwzględniono m.in. składki na Fundusz Pracy Fundusz Gwarantowanych Świadczeń Pracowniczych, wpłaty na PEFRON. </w:t>
            </w:r>
          </w:p>
          <w:p w14:paraId="4CD65B5A" w14:textId="77777777" w:rsidR="0075728B" w:rsidRPr="00957D8C" w:rsidRDefault="0075728B" w:rsidP="0042202B">
            <w:pPr>
              <w:autoSpaceDE w:val="0"/>
              <w:autoSpaceDN w:val="0"/>
              <w:adjustRightInd w:val="0"/>
              <w:rPr>
                <w:rFonts w:cstheme="minorHAnsi"/>
                <w:b/>
                <w:i/>
                <w:iCs/>
              </w:rPr>
            </w:pPr>
            <w:r w:rsidRPr="00957D8C">
              <w:rPr>
                <w:rFonts w:cstheme="minorHAnsi"/>
                <w:b/>
              </w:rPr>
              <w:t>W związku z powyższym:</w:t>
            </w:r>
          </w:p>
          <w:p w14:paraId="567B672F" w14:textId="77777777" w:rsidR="0075728B" w:rsidRPr="00957D8C" w:rsidRDefault="0075728B" w:rsidP="0042202B">
            <w:pPr>
              <w:pStyle w:val="Akapitzlist"/>
              <w:numPr>
                <w:ilvl w:val="0"/>
                <w:numId w:val="1"/>
              </w:numPr>
              <w:autoSpaceDE w:val="0"/>
              <w:autoSpaceDN w:val="0"/>
              <w:adjustRightInd w:val="0"/>
              <w:spacing w:line="240" w:lineRule="auto"/>
              <w:contextualSpacing w:val="0"/>
              <w:rPr>
                <w:rFonts w:cstheme="minorHAnsi"/>
                <w:b/>
                <w:bCs/>
                <w:sz w:val="22"/>
                <w:szCs w:val="22"/>
              </w:rPr>
            </w:pPr>
            <w:r w:rsidRPr="00957D8C">
              <w:rPr>
                <w:rFonts w:cstheme="minorHAnsi"/>
                <w:b/>
                <w:sz w:val="22"/>
                <w:szCs w:val="22"/>
              </w:rPr>
              <w:t xml:space="preserve">analogicznie do składek na Fundusz Pracy, odprowadzane są również </w:t>
            </w:r>
            <w:r w:rsidRPr="00957D8C">
              <w:rPr>
                <w:rFonts w:cstheme="minorHAnsi"/>
                <w:b/>
                <w:bCs/>
                <w:sz w:val="22"/>
                <w:szCs w:val="22"/>
              </w:rPr>
              <w:t xml:space="preserve">składki na Fundusz Solidarnościowy </w:t>
            </w:r>
            <w:r w:rsidRPr="00957D8C">
              <w:rPr>
                <w:rFonts w:cstheme="minorHAnsi"/>
                <w:b/>
                <w:sz w:val="22"/>
                <w:szCs w:val="22"/>
              </w:rPr>
              <w:t>(</w:t>
            </w:r>
            <w:r w:rsidRPr="00957D8C">
              <w:rPr>
                <w:rFonts w:cstheme="minorHAnsi"/>
                <w:b/>
                <w:i/>
                <w:iCs/>
                <w:sz w:val="22"/>
                <w:szCs w:val="22"/>
              </w:rPr>
              <w:t>art. 4 ust. 1 ustawy o Funduszu Solidarnościowym</w:t>
            </w:r>
            <w:r w:rsidRPr="00957D8C">
              <w:rPr>
                <w:rFonts w:cstheme="minorHAnsi"/>
                <w:b/>
                <w:sz w:val="22"/>
                <w:szCs w:val="22"/>
              </w:rPr>
              <w:t>). W związku z tym, tabela w pkt 6 OSR powinna zostać uzupełniona w tym zakresie. Stosownie do postanowień ustawy budżetowej na rok 2025, wysokość obowiązującej składki na Fundusz Pracy wynosi 1,0% podstawy wymiaru składek na ubezpieczenia emerytalne i rentowe, z kolei w przypadku Funduszu Solidarnościowego jest to 1,45% podstawy wymiaru składek na ubezpieczenia emerytalne i rentowe.</w:t>
            </w:r>
          </w:p>
          <w:p w14:paraId="57324798" w14:textId="77777777" w:rsidR="0075728B" w:rsidRPr="00957D8C" w:rsidRDefault="0075728B" w:rsidP="0042202B">
            <w:pPr>
              <w:pStyle w:val="Akapitzlist"/>
              <w:numPr>
                <w:ilvl w:val="0"/>
                <w:numId w:val="1"/>
              </w:numPr>
              <w:autoSpaceDE w:val="0"/>
              <w:autoSpaceDN w:val="0"/>
              <w:adjustRightInd w:val="0"/>
              <w:spacing w:line="240" w:lineRule="auto"/>
              <w:contextualSpacing w:val="0"/>
              <w:rPr>
                <w:rFonts w:cstheme="minorHAnsi"/>
                <w:b/>
                <w:i/>
                <w:iCs/>
                <w:sz w:val="22"/>
                <w:szCs w:val="22"/>
              </w:rPr>
            </w:pPr>
            <w:r w:rsidRPr="00957D8C">
              <w:rPr>
                <w:rFonts w:cstheme="minorHAnsi"/>
                <w:b/>
                <w:sz w:val="22"/>
                <w:szCs w:val="22"/>
              </w:rPr>
              <w:t xml:space="preserve">zgodnie z </w:t>
            </w:r>
            <w:r w:rsidRPr="00957D8C">
              <w:rPr>
                <w:rFonts w:cstheme="minorHAnsi"/>
                <w:b/>
                <w:i/>
                <w:iCs/>
                <w:sz w:val="22"/>
                <w:szCs w:val="22"/>
              </w:rPr>
              <w:t xml:space="preserve">art. 9 ustawy o ochronie roszczeń pracowniczych w razie niewypłacalności pracodawcy </w:t>
            </w:r>
            <w:r w:rsidRPr="00957D8C">
              <w:rPr>
                <w:rFonts w:cstheme="minorHAnsi"/>
                <w:b/>
                <w:bCs/>
                <w:sz w:val="22"/>
                <w:szCs w:val="22"/>
              </w:rPr>
              <w:t xml:space="preserve">składki na FGŚP </w:t>
            </w:r>
            <w:r w:rsidRPr="00957D8C">
              <w:rPr>
                <w:rFonts w:cstheme="minorHAnsi"/>
                <w:b/>
                <w:sz w:val="22"/>
                <w:szCs w:val="22"/>
              </w:rPr>
              <w:t xml:space="preserve">za pracowników jest obowiązany opłacać przedsiębiorca, o którym mowa w </w:t>
            </w:r>
            <w:r w:rsidRPr="00957D8C">
              <w:rPr>
                <w:rFonts w:cstheme="minorHAnsi"/>
                <w:b/>
                <w:i/>
                <w:iCs/>
                <w:sz w:val="22"/>
                <w:szCs w:val="22"/>
              </w:rPr>
              <w:t>art. 2 ust. 1 ww. ustawy</w:t>
            </w:r>
            <w:r w:rsidRPr="00957D8C">
              <w:rPr>
                <w:rFonts w:cstheme="minorHAnsi"/>
                <w:b/>
                <w:sz w:val="22"/>
                <w:szCs w:val="22"/>
              </w:rPr>
              <w:t>, prowadzący działalność gospodarczą wyłącznie na terytorium Rzeczypospolitej Polskiej, przedsiębiorca prowadzący działalność gospodarczą również na terytorium innych państw członkowskich Unii Europejskiej lub państw członkowskich Europejskiego Porozumienia o Wolnym Handlu (EFTA) – stron umowy o Europejskim Obszarze Gospodarczym w odniesieniu do działalności prowadzonej na terytorium Rzeczypospolitej Polskiej, oddział banku zagranicznego, oddział instytucji kredytowej lub oddział zagranicznego zakładu ubezpieczeń, a także oddział lub przedstawicielstwo przedsiębiorcy zagranicznego – nie zaś jednostka sektora finansów publicznych. OSR w tym zakresie wymaga korekty,</w:t>
            </w:r>
          </w:p>
          <w:p w14:paraId="3EF18409" w14:textId="77777777" w:rsidR="0075728B" w:rsidRPr="00957D8C" w:rsidRDefault="0075728B" w:rsidP="0042202B">
            <w:pPr>
              <w:pStyle w:val="Akapitzlist"/>
              <w:numPr>
                <w:ilvl w:val="0"/>
                <w:numId w:val="1"/>
              </w:numPr>
              <w:autoSpaceDE w:val="0"/>
              <w:autoSpaceDN w:val="0"/>
              <w:adjustRightInd w:val="0"/>
              <w:spacing w:line="240" w:lineRule="auto"/>
              <w:contextualSpacing w:val="0"/>
              <w:rPr>
                <w:rFonts w:cstheme="minorHAnsi"/>
                <w:b/>
                <w:sz w:val="22"/>
                <w:szCs w:val="22"/>
              </w:rPr>
            </w:pPr>
            <w:r w:rsidRPr="00957D8C">
              <w:rPr>
                <w:rFonts w:cstheme="minorHAnsi"/>
                <w:b/>
                <w:bCs/>
                <w:sz w:val="22"/>
                <w:szCs w:val="22"/>
              </w:rPr>
              <w:t xml:space="preserve">wpłaty na PFRON </w:t>
            </w:r>
            <w:r w:rsidRPr="00957D8C">
              <w:rPr>
                <w:rFonts w:cstheme="minorHAnsi"/>
                <w:b/>
                <w:sz w:val="22"/>
                <w:szCs w:val="22"/>
              </w:rPr>
              <w:t xml:space="preserve">są obowiązkowe dla pracodawców zatrudniających powyżej 25 osób, którzy nie osiągają wymaganego </w:t>
            </w:r>
            <w:r w:rsidRPr="00957D8C">
              <w:rPr>
                <w:rFonts w:cstheme="minorHAnsi"/>
                <w:b/>
                <w:i/>
                <w:iCs/>
                <w:sz w:val="22"/>
                <w:szCs w:val="22"/>
              </w:rPr>
              <w:t xml:space="preserve">ustawą o rehabilitacji zawodowej i społecznej oraz zatrudnianiu osób niepełnosprawnych </w:t>
            </w:r>
            <w:r w:rsidRPr="00957D8C">
              <w:rPr>
                <w:rFonts w:cstheme="minorHAnsi"/>
                <w:b/>
                <w:sz w:val="22"/>
                <w:szCs w:val="22"/>
              </w:rPr>
              <w:t xml:space="preserve">wskaźnika zatrudnienia osób z niepełnosprawnością. Wpłaty te mają charakter sankcyjny. Taka konstrukcja przepisów ma na celu zachęcenie pracodawców do przyjmowania do pracy osób z niepełnosprawnością. Dopiero w przypadku niewykorzystania tych możliwości, zobowiązani są do wnoszenia wpłat na PFRON. W planach finansowych nie powinny być planowane wpłaty na PFRON. W przypadku wystąpienia konieczności dokonania ww. wpłat jednostka ta powinna dokonać odpowiednich zmian </w:t>
            </w:r>
            <w:r w:rsidRPr="00957D8C">
              <w:rPr>
                <w:rFonts w:cstheme="minorHAnsi"/>
                <w:b/>
                <w:sz w:val="22"/>
                <w:szCs w:val="22"/>
              </w:rPr>
              <w:br/>
              <w:t xml:space="preserve">w planie wydatków zmniejszając wydatki na wynagrodzenia osobowe. </w:t>
            </w:r>
          </w:p>
          <w:p w14:paraId="526323BC" w14:textId="77777777" w:rsidR="0075728B" w:rsidRPr="00957D8C" w:rsidRDefault="0075728B" w:rsidP="0042202B">
            <w:pPr>
              <w:autoSpaceDE w:val="0"/>
              <w:autoSpaceDN w:val="0"/>
              <w:adjustRightInd w:val="0"/>
              <w:rPr>
                <w:rFonts w:cstheme="minorHAnsi"/>
                <w:b/>
              </w:rPr>
            </w:pPr>
            <w:r w:rsidRPr="00957D8C">
              <w:rPr>
                <w:rFonts w:cstheme="minorHAnsi"/>
                <w:b/>
              </w:rPr>
              <w:t>W związku z powyższym, niezasadne jest wskazanie w OSR kwot wydatków na PFRON przy kalkulacji dot. zwiększenia zatrudnienia w ww. jednostkach.</w:t>
            </w:r>
          </w:p>
          <w:p w14:paraId="111150C8" w14:textId="50E1F588" w:rsidR="0075728B" w:rsidRPr="00957D8C" w:rsidRDefault="0075728B" w:rsidP="0042202B">
            <w:pPr>
              <w:autoSpaceDE w:val="0"/>
              <w:autoSpaceDN w:val="0"/>
              <w:adjustRightInd w:val="0"/>
              <w:rPr>
                <w:rFonts w:cstheme="minorHAnsi"/>
                <w:b/>
              </w:rPr>
            </w:pPr>
            <w:r w:rsidRPr="00957D8C">
              <w:rPr>
                <w:rFonts w:cstheme="minorHAnsi"/>
                <w:b/>
              </w:rPr>
              <w:t>Dodatkowo punkt wymaga uzupełnienia o informację o planowanych wydatkach związanych z ubezpieczeniem zdrowotnym.</w:t>
            </w:r>
          </w:p>
        </w:tc>
        <w:tc>
          <w:tcPr>
            <w:tcW w:w="3827" w:type="dxa"/>
          </w:tcPr>
          <w:p w14:paraId="6054C605" w14:textId="59CA86BA" w:rsidR="0075728B" w:rsidRPr="00957D8C" w:rsidRDefault="0075728B" w:rsidP="0042202B">
            <w:pPr>
              <w:rPr>
                <w:rFonts w:cstheme="minorHAnsi"/>
                <w:b/>
              </w:rPr>
            </w:pPr>
            <w:r w:rsidRPr="00957D8C">
              <w:rPr>
                <w:rFonts w:cstheme="minorHAnsi"/>
                <w:b/>
              </w:rPr>
              <w:t xml:space="preserve">Wprowadzono </w:t>
            </w:r>
            <w:r>
              <w:rPr>
                <w:rFonts w:cstheme="minorHAnsi"/>
                <w:b/>
              </w:rPr>
              <w:t xml:space="preserve">stosowne </w:t>
            </w:r>
            <w:r w:rsidRPr="00957D8C">
              <w:rPr>
                <w:rFonts w:cstheme="minorHAnsi"/>
                <w:b/>
              </w:rPr>
              <w:t>zmiany w OSR.</w:t>
            </w:r>
          </w:p>
        </w:tc>
        <w:tc>
          <w:tcPr>
            <w:tcW w:w="3686" w:type="dxa"/>
          </w:tcPr>
          <w:p w14:paraId="6CFA87AA" w14:textId="77777777" w:rsidR="00D76FE7" w:rsidRPr="00294304" w:rsidRDefault="00D76FE7" w:rsidP="0042202B">
            <w:pPr>
              <w:rPr>
                <w:rFonts w:eastAsia="Calibri" w:cstheme="minorHAnsi"/>
                <w:b/>
                <w:bCs/>
              </w:rPr>
            </w:pPr>
            <w:r w:rsidRPr="00294304">
              <w:rPr>
                <w:rFonts w:eastAsia="Calibri" w:cstheme="minorHAnsi"/>
                <w:b/>
                <w:bCs/>
              </w:rPr>
              <w:t>Uwagi w tym zakresie zostały uwzględnione poprzez stosowne zmiany w OSR. Z przedłożonej nowej wersji OSR wynika jednak, że uwaga w zakresie uzupełnienia tabeli w pkt 6 o dochody Funduszu Solidarnościowego nie została jednak uwzględniona.</w:t>
            </w:r>
          </w:p>
          <w:p w14:paraId="62337AD8" w14:textId="77777777" w:rsidR="00D76FE7" w:rsidRPr="00294304" w:rsidRDefault="00D76FE7" w:rsidP="0042202B">
            <w:pPr>
              <w:rPr>
                <w:rFonts w:eastAsia="Calibri" w:cstheme="minorHAnsi"/>
                <w:b/>
                <w:bCs/>
              </w:rPr>
            </w:pPr>
            <w:r w:rsidRPr="00294304">
              <w:rPr>
                <w:rFonts w:eastAsia="Calibri" w:cstheme="minorHAnsi"/>
                <w:b/>
                <w:bCs/>
              </w:rPr>
              <w:t>Ponownie zatem zauważamy, że analogicznie do składek na Fundusz Pracy, odprowadzane są również składki na Fundusz Solidarnościowy (art. 4 ust. 1 ustawy o Funduszu Solidarnościowym). W związku z tym, tabela w pkt 6 OSR oraz załączniki do OSR powinny zostać uzupełnione w tym zakresie. Stosownie do postanowień ustawy budżetowej na rok 2026, wysokość obowiązującej składki na Fundusz Pracy wynosi 1,0% podstawy wymiaru składek na ubezpieczenia emerytalne i rentowe, z kolei w przypadku Funduszu Solidarnościowego jest to 1,45% podstawy wymiaru składek na ubezpieczenia emerytalne i rentowe.</w:t>
            </w:r>
          </w:p>
          <w:p w14:paraId="6BFC947F" w14:textId="77777777" w:rsidR="00D76FE7" w:rsidRPr="00294304" w:rsidRDefault="00D76FE7" w:rsidP="0042202B">
            <w:pPr>
              <w:rPr>
                <w:rFonts w:eastAsia="Calibri" w:cstheme="minorHAnsi"/>
                <w:b/>
                <w:bCs/>
              </w:rPr>
            </w:pPr>
          </w:p>
          <w:p w14:paraId="53D9B8C8" w14:textId="08FFC50B" w:rsidR="00D76FE7" w:rsidRDefault="00D76FE7" w:rsidP="0042202B">
            <w:pPr>
              <w:rPr>
                <w:rFonts w:cstheme="minorHAnsi"/>
                <w:b/>
                <w:bCs/>
              </w:rPr>
            </w:pPr>
            <w:bookmarkStart w:id="68" w:name="_Hlk231403092"/>
            <w:r w:rsidRPr="00294304">
              <w:rPr>
                <w:rFonts w:cstheme="minorHAnsi"/>
                <w:b/>
                <w:bCs/>
              </w:rPr>
              <w:t>Ponadto, mając na względzie, że przedmiotowy projekt oddziałuje na Policję oraz Straż Graniczna, pkt 6 OSR należy uzupełnić o jednoznaczną informację, zgodnie z którą wszelkie koszty wynikające z przedmiotowego projektu po stronie ministra właściwego do spraw wewnętrznych zostaną sfinansowane w ramach limitu wydatków tego dysponenta określonego w ustawie budżetowej na dany rok, w tym w ramach limitu wynagrodzeń, bez konieczności wygosp</w:t>
            </w:r>
            <w:r>
              <w:rPr>
                <w:rFonts w:cstheme="minorHAnsi"/>
                <w:b/>
                <w:bCs/>
              </w:rPr>
              <w:t>o</w:t>
            </w:r>
            <w:r w:rsidRPr="00294304">
              <w:rPr>
                <w:rFonts w:cstheme="minorHAnsi"/>
                <w:b/>
                <w:bCs/>
              </w:rPr>
              <w:t>darowania dodatkowych środków ponad limit dysponenta.</w:t>
            </w:r>
          </w:p>
          <w:p w14:paraId="5736F988" w14:textId="046F4365" w:rsidR="00CD2E8F" w:rsidRDefault="00CD2E8F" w:rsidP="0042202B">
            <w:pPr>
              <w:rPr>
                <w:rFonts w:cstheme="minorHAnsi"/>
                <w:b/>
                <w:bCs/>
              </w:rPr>
            </w:pPr>
          </w:p>
          <w:p w14:paraId="3B793F27" w14:textId="1E3B6E44" w:rsidR="00CD2E8F" w:rsidRPr="00CD2E8F" w:rsidRDefault="00CD2E8F" w:rsidP="0042202B">
            <w:pPr>
              <w:rPr>
                <w:rFonts w:cstheme="minorHAnsi"/>
                <w:b/>
                <w:bCs/>
                <w:color w:val="0070C0"/>
              </w:rPr>
            </w:pPr>
            <w:r w:rsidRPr="00CD2E8F">
              <w:rPr>
                <w:rFonts w:cstheme="minorHAnsi"/>
                <w:b/>
                <w:bCs/>
                <w:color w:val="0070C0"/>
              </w:rPr>
              <w:t>Uzupełniono OSR</w:t>
            </w:r>
            <w:r w:rsidR="006F5BB5">
              <w:rPr>
                <w:rFonts w:cstheme="minorHAnsi"/>
                <w:b/>
                <w:bCs/>
                <w:color w:val="0070C0"/>
              </w:rPr>
              <w:t xml:space="preserve"> w powyższym zakresie</w:t>
            </w:r>
            <w:r w:rsidR="00104748">
              <w:rPr>
                <w:rFonts w:cstheme="minorHAnsi"/>
                <w:b/>
                <w:bCs/>
                <w:color w:val="0070C0"/>
              </w:rPr>
              <w:t xml:space="preserve">, z wyjątkiem Policji – ze względu na brak danych od Policji. </w:t>
            </w:r>
          </w:p>
          <w:bookmarkEnd w:id="68"/>
          <w:p w14:paraId="6292B92E" w14:textId="77777777" w:rsidR="00D76FE7" w:rsidRPr="00294304" w:rsidRDefault="00D76FE7" w:rsidP="0042202B">
            <w:pPr>
              <w:rPr>
                <w:rFonts w:cstheme="minorHAnsi"/>
                <w:b/>
                <w:bCs/>
              </w:rPr>
            </w:pPr>
          </w:p>
          <w:p w14:paraId="76BAB7BC" w14:textId="0898E7A0" w:rsidR="0075728B" w:rsidRPr="00957D8C" w:rsidRDefault="0075728B" w:rsidP="0042202B">
            <w:pPr>
              <w:rPr>
                <w:rFonts w:cstheme="minorHAnsi"/>
                <w:b/>
              </w:rPr>
            </w:pPr>
          </w:p>
        </w:tc>
      </w:tr>
      <w:tr w:rsidR="0075728B" w:rsidRPr="00F515D6" w14:paraId="457DD008" w14:textId="74279C8F" w:rsidTr="00D76FE7">
        <w:tc>
          <w:tcPr>
            <w:tcW w:w="562" w:type="dxa"/>
          </w:tcPr>
          <w:p w14:paraId="6AEDF722" w14:textId="77777777" w:rsidR="0075728B" w:rsidRPr="00957D8C" w:rsidRDefault="0075728B" w:rsidP="0042202B">
            <w:pPr>
              <w:rPr>
                <w:rFonts w:cstheme="minorHAnsi"/>
                <w:b/>
              </w:rPr>
            </w:pPr>
            <w:r w:rsidRPr="00957D8C">
              <w:rPr>
                <w:rFonts w:cstheme="minorHAnsi"/>
                <w:b/>
              </w:rPr>
              <w:t>110</w:t>
            </w:r>
          </w:p>
        </w:tc>
        <w:tc>
          <w:tcPr>
            <w:tcW w:w="993" w:type="dxa"/>
          </w:tcPr>
          <w:p w14:paraId="462ED308" w14:textId="77777777" w:rsidR="0075728B" w:rsidRPr="00957D8C" w:rsidRDefault="0075728B" w:rsidP="0042202B">
            <w:pPr>
              <w:rPr>
                <w:rFonts w:cstheme="minorHAnsi"/>
                <w:b/>
              </w:rPr>
            </w:pPr>
            <w:r w:rsidRPr="00957D8C">
              <w:rPr>
                <w:rFonts w:cstheme="minorHAnsi"/>
                <w:b/>
              </w:rPr>
              <w:t>MFiG</w:t>
            </w:r>
          </w:p>
        </w:tc>
        <w:tc>
          <w:tcPr>
            <w:tcW w:w="1701" w:type="dxa"/>
          </w:tcPr>
          <w:p w14:paraId="0D62A12B" w14:textId="77777777" w:rsidR="0075728B" w:rsidRPr="00957D8C" w:rsidRDefault="0075728B" w:rsidP="0042202B">
            <w:pPr>
              <w:rPr>
                <w:rFonts w:cstheme="minorHAnsi"/>
                <w:b/>
              </w:rPr>
            </w:pPr>
            <w:r w:rsidRPr="00957D8C">
              <w:rPr>
                <w:rFonts w:cstheme="minorHAnsi"/>
                <w:b/>
              </w:rPr>
              <w:t>Pkt 6 OSR</w:t>
            </w:r>
          </w:p>
        </w:tc>
        <w:tc>
          <w:tcPr>
            <w:tcW w:w="5953" w:type="dxa"/>
          </w:tcPr>
          <w:p w14:paraId="1BCD9822" w14:textId="593545B7" w:rsidR="0075728B" w:rsidRPr="00957D8C" w:rsidRDefault="0075728B" w:rsidP="0042202B">
            <w:pPr>
              <w:autoSpaceDE w:val="0"/>
              <w:autoSpaceDN w:val="0"/>
              <w:adjustRightInd w:val="0"/>
              <w:rPr>
                <w:rFonts w:cstheme="minorHAnsi"/>
                <w:b/>
              </w:rPr>
            </w:pPr>
            <w:r w:rsidRPr="00957D8C">
              <w:rPr>
                <w:rFonts w:cstheme="minorHAnsi"/>
                <w:b/>
              </w:rPr>
              <w:t xml:space="preserve">W OSR w pkt 6 </w:t>
            </w:r>
            <w:r w:rsidRPr="00957D8C">
              <w:rPr>
                <w:rFonts w:cstheme="minorHAnsi"/>
                <w:b/>
                <w:i/>
                <w:iCs/>
              </w:rPr>
              <w:t xml:space="preserve">Wpływ na sektor finansów publicznych </w:t>
            </w:r>
            <w:r w:rsidRPr="00957D8C">
              <w:rPr>
                <w:rFonts w:cstheme="minorHAnsi"/>
                <w:b/>
              </w:rPr>
              <w:t xml:space="preserve">w części </w:t>
            </w:r>
            <w:r w:rsidRPr="00957D8C">
              <w:rPr>
                <w:rFonts w:cstheme="minorHAnsi"/>
                <w:b/>
                <w:i/>
                <w:iCs/>
              </w:rPr>
              <w:t xml:space="preserve">Źródła Finansowania </w:t>
            </w:r>
            <w:r w:rsidRPr="00957D8C">
              <w:rPr>
                <w:rFonts w:cstheme="minorHAnsi"/>
                <w:b/>
              </w:rPr>
              <w:t>wskazano na konieczność zwiększenia zatrudnienia w Ministerstwie Infrastruktury docelowo o 6 dodatkowych etatów, co spowoduje konieczność zwiększenia budżetu w części 39 - Transport, której dysponentem jest minister właściwy do spraw transportu. Nie akceptujemy tego rozwiązania - nałożone na jednostkę nowe zadania nie powinny generować automatycznego zwiększenia zatrudnienia czy innych kosztów w danej jednostce organizacyjnej. Przeanalizowania wymaga poziom planowanego zatrudnienia, w porównaniu do faktycznego jego wykonania. W przypadku stwierdzenia, iż w jednostce występują nieobsadzone etaty, należy rozważyć czy mogą one być wykorzystane z przeznaczeniem do realizacji nowych zadań wynikających z projektu, w ramach posiadanych środków na wynagrodzenia.</w:t>
            </w:r>
          </w:p>
          <w:p w14:paraId="1E07440C" w14:textId="758710C1" w:rsidR="0075728B" w:rsidRPr="00957D8C" w:rsidRDefault="0075728B" w:rsidP="0042202B">
            <w:pPr>
              <w:autoSpaceDE w:val="0"/>
              <w:autoSpaceDN w:val="0"/>
              <w:adjustRightInd w:val="0"/>
              <w:rPr>
                <w:rFonts w:cstheme="minorHAnsi"/>
                <w:b/>
              </w:rPr>
            </w:pPr>
            <w:r w:rsidRPr="00957D8C">
              <w:rPr>
                <w:rFonts w:cstheme="minorHAnsi"/>
                <w:b/>
              </w:rPr>
              <w:t>W związku z tym w pkt 6 OSR powinna zostać zamieszczona informacja, że skutki finansowe z tytułu zwiększenia zatrudnienia w MI zostaną sfinansowane w ramach planowanego corocznie w ustawie budżetowej limitu wydatków cz. 39 – Transport, bez konieczności dodatkowych zwiększeń. Należy zauważyć, że wydatki na wynagrodzenia stanowią szczególny rodzaj wydatków budżetowych, które nie tylko determinują poziom kosztów w danym roku, ale także wpływają na ich wysokość w kolejnych latach (jako skutki przechodzące), a także mogą determinować inne wydatki, które są z nimi powiązane. Zwiększenie zatrudnienia w MI powinno być zatem realizowane w ramach dostępnych zasobów kadrowych i finansowych, bez konieczności zwiększania limitu wydatków cz. 39 – Transport.</w:t>
            </w:r>
          </w:p>
        </w:tc>
        <w:tc>
          <w:tcPr>
            <w:tcW w:w="3827" w:type="dxa"/>
          </w:tcPr>
          <w:p w14:paraId="33981370" w14:textId="73C77DFA" w:rsidR="0075728B" w:rsidRDefault="0075728B" w:rsidP="0042202B">
            <w:pPr>
              <w:rPr>
                <w:rFonts w:cstheme="minorHAnsi"/>
                <w:b/>
              </w:rPr>
            </w:pPr>
            <w:r>
              <w:rPr>
                <w:rFonts w:cstheme="minorHAnsi"/>
                <w:b/>
              </w:rPr>
              <w:t xml:space="preserve">MI podtrzymuje stanowisko, iż nie dysponuje obecnie zasobami kadrowymi, które zagwarantowałyby płynną realizację zadań – i pozwalały na zmniejszenie docelowego zatrudnienia w ilości 6 osób. Brak jest również możliwości dokonania przesunięć kadrowych wewnątrz MI. </w:t>
            </w:r>
          </w:p>
          <w:p w14:paraId="17CA4320" w14:textId="55A1C5DD" w:rsidR="0075728B" w:rsidRPr="00957D8C" w:rsidRDefault="0075728B" w:rsidP="0042202B">
            <w:pPr>
              <w:rPr>
                <w:rFonts w:cstheme="minorHAnsi"/>
                <w:b/>
              </w:rPr>
            </w:pPr>
          </w:p>
        </w:tc>
        <w:tc>
          <w:tcPr>
            <w:tcW w:w="3686" w:type="dxa"/>
          </w:tcPr>
          <w:p w14:paraId="52F489DE" w14:textId="4C372BE6" w:rsidR="00D76FE7" w:rsidRPr="00201684" w:rsidRDefault="00D76FE7" w:rsidP="0042202B">
            <w:pPr>
              <w:autoSpaceDE w:val="0"/>
              <w:autoSpaceDN w:val="0"/>
              <w:adjustRightInd w:val="0"/>
              <w:rPr>
                <w:rFonts w:cstheme="minorHAnsi"/>
                <w:b/>
                <w:bCs/>
              </w:rPr>
            </w:pPr>
            <w:r>
              <w:rPr>
                <w:rFonts w:cstheme="minorHAnsi"/>
                <w:b/>
                <w:bCs/>
              </w:rPr>
              <w:t>MFiG p</w:t>
            </w:r>
            <w:r w:rsidRPr="00201684">
              <w:rPr>
                <w:rFonts w:cstheme="minorHAnsi"/>
                <w:b/>
                <w:bCs/>
              </w:rPr>
              <w:t>odtrzymuje</w:t>
            </w:r>
            <w:r>
              <w:rPr>
                <w:rFonts w:cstheme="minorHAnsi"/>
                <w:b/>
                <w:bCs/>
              </w:rPr>
              <w:t xml:space="preserve"> </w:t>
            </w:r>
            <w:r w:rsidRPr="00201684">
              <w:rPr>
                <w:rFonts w:cstheme="minorHAnsi"/>
                <w:b/>
                <w:bCs/>
              </w:rPr>
              <w:t>stanowisko w zakresie finansowania wykazywanego w OSR</w:t>
            </w:r>
            <w:r>
              <w:rPr>
                <w:rFonts w:cstheme="minorHAnsi"/>
                <w:b/>
                <w:bCs/>
              </w:rPr>
              <w:t xml:space="preserve"> </w:t>
            </w:r>
            <w:r w:rsidRPr="00201684">
              <w:rPr>
                <w:rFonts w:cstheme="minorHAnsi"/>
                <w:b/>
                <w:bCs/>
              </w:rPr>
              <w:t>zwiększenia zatrudnienia w Ministerstwie Infrastruktury o 6 etatów w</w:t>
            </w:r>
            <w:r w:rsidR="00CD2E8F">
              <w:rPr>
                <w:rFonts w:cstheme="minorHAnsi"/>
                <w:b/>
                <w:bCs/>
              </w:rPr>
              <w:t xml:space="preserve"> </w:t>
            </w:r>
            <w:r w:rsidRPr="00201684">
              <w:rPr>
                <w:rFonts w:cstheme="minorHAnsi"/>
                <w:b/>
                <w:bCs/>
              </w:rPr>
              <w:t>ramach limitu wydatków określanego corocznie w ustawie budżetowej dla cz. 39 – Transport, bez konieczności dodatkowych zwiększeń. Taka</w:t>
            </w:r>
          </w:p>
          <w:p w14:paraId="0A59EB49" w14:textId="77777777" w:rsidR="00D76FE7" w:rsidRPr="00201684" w:rsidRDefault="00D76FE7" w:rsidP="0042202B">
            <w:pPr>
              <w:autoSpaceDE w:val="0"/>
              <w:autoSpaceDN w:val="0"/>
              <w:adjustRightInd w:val="0"/>
              <w:rPr>
                <w:rFonts w:cstheme="minorHAnsi"/>
                <w:b/>
                <w:bCs/>
              </w:rPr>
            </w:pPr>
            <w:r w:rsidRPr="00201684">
              <w:rPr>
                <w:rFonts w:cstheme="minorHAnsi"/>
                <w:b/>
                <w:bCs/>
              </w:rPr>
              <w:t>informacja powinna zostać zamieszczona w pkt 6 OSR. Informuję, że konieczność wdrażania nowych projektów zmian przepisów normatywnych, w sytuacji braku dostępnej przestrzeni finansowej,</w:t>
            </w:r>
          </w:p>
          <w:p w14:paraId="36A3F6A2" w14:textId="77777777" w:rsidR="00D76FE7" w:rsidRPr="00201684" w:rsidRDefault="00D76FE7" w:rsidP="0042202B">
            <w:pPr>
              <w:autoSpaceDE w:val="0"/>
              <w:autoSpaceDN w:val="0"/>
              <w:adjustRightInd w:val="0"/>
              <w:rPr>
                <w:rFonts w:cstheme="minorHAnsi"/>
                <w:b/>
                <w:bCs/>
              </w:rPr>
            </w:pPr>
            <w:r w:rsidRPr="00201684">
              <w:rPr>
                <w:rFonts w:cstheme="minorHAnsi"/>
                <w:b/>
                <w:bCs/>
              </w:rPr>
              <w:t>wymusza realizację zadań w sposób neutralny dla wydatków budżetu państwa.</w:t>
            </w:r>
          </w:p>
          <w:p w14:paraId="54654DCE" w14:textId="77777777" w:rsidR="0075728B" w:rsidRDefault="00D76FE7" w:rsidP="0042202B">
            <w:pPr>
              <w:autoSpaceDE w:val="0"/>
              <w:autoSpaceDN w:val="0"/>
              <w:adjustRightInd w:val="0"/>
              <w:rPr>
                <w:rFonts w:cstheme="minorHAnsi"/>
                <w:b/>
                <w:bCs/>
              </w:rPr>
            </w:pPr>
            <w:r w:rsidRPr="00201684">
              <w:rPr>
                <w:rFonts w:cstheme="minorHAnsi"/>
                <w:b/>
                <w:bCs/>
              </w:rPr>
              <w:t>Ponadto projekt ustawy nie określa maksymalnego limitu wydatków</w:t>
            </w:r>
            <w:r>
              <w:rPr>
                <w:rFonts w:cstheme="minorHAnsi"/>
                <w:b/>
                <w:bCs/>
              </w:rPr>
              <w:t xml:space="preserve"> </w:t>
            </w:r>
            <w:r w:rsidRPr="00201684">
              <w:rPr>
                <w:rFonts w:cstheme="minorHAnsi"/>
                <w:b/>
                <w:bCs/>
              </w:rPr>
              <w:t>budżetu państwa z tego tytułu, mechanizmów korygujących oraz organów</w:t>
            </w:r>
            <w:r w:rsidR="00CD2E8F">
              <w:rPr>
                <w:rFonts w:cstheme="minorHAnsi"/>
                <w:b/>
                <w:bCs/>
              </w:rPr>
              <w:t xml:space="preserve"> </w:t>
            </w:r>
            <w:r w:rsidRPr="00201684">
              <w:rPr>
                <w:rFonts w:cstheme="minorHAnsi"/>
                <w:b/>
                <w:bCs/>
              </w:rPr>
              <w:t>monitorujących wykorzystanie limitu wydatków oraz odpowiadających za</w:t>
            </w:r>
            <w:r>
              <w:rPr>
                <w:rFonts w:cstheme="minorHAnsi"/>
                <w:b/>
                <w:bCs/>
              </w:rPr>
              <w:t xml:space="preserve"> </w:t>
            </w:r>
            <w:r w:rsidRPr="00201684">
              <w:rPr>
                <w:rFonts w:cstheme="minorHAnsi"/>
                <w:b/>
                <w:bCs/>
              </w:rPr>
              <w:t>wdrożenie mechanizmów korygujących.</w:t>
            </w:r>
          </w:p>
          <w:p w14:paraId="32AFAFCB" w14:textId="72319ED2" w:rsidR="00CD2E8F" w:rsidRPr="00CD2E8F" w:rsidRDefault="00CD2E8F" w:rsidP="0042202B">
            <w:pPr>
              <w:autoSpaceDE w:val="0"/>
              <w:autoSpaceDN w:val="0"/>
              <w:adjustRightInd w:val="0"/>
              <w:spacing w:before="120" w:after="120"/>
              <w:rPr>
                <w:rFonts w:cstheme="minorHAnsi"/>
                <w:b/>
                <w:bCs/>
                <w:color w:val="0070C0"/>
              </w:rPr>
            </w:pPr>
            <w:r w:rsidRPr="00CD2E8F">
              <w:rPr>
                <w:rFonts w:cstheme="minorHAnsi"/>
                <w:b/>
                <w:bCs/>
                <w:color w:val="0070C0"/>
              </w:rPr>
              <w:t xml:space="preserve">Zmniejszono zatrudnienie MI do 3 osób -  </w:t>
            </w:r>
            <w:r>
              <w:rPr>
                <w:rFonts w:cstheme="minorHAnsi"/>
                <w:b/>
                <w:bCs/>
                <w:color w:val="0070C0"/>
              </w:rPr>
              <w:t>uzupełniono OSR - z</w:t>
            </w:r>
            <w:r w:rsidRPr="00CD2E8F">
              <w:rPr>
                <w:rFonts w:cstheme="minorHAnsi"/>
                <w:b/>
                <w:bCs/>
                <w:color w:val="0070C0"/>
              </w:rPr>
              <w:t xml:space="preserve">większenie zatrudnienia w Ministerstwie Infrastruktury docelowo o 3 nowe etaty </w:t>
            </w:r>
            <w:r w:rsidRPr="00104748">
              <w:rPr>
                <w:rFonts w:cstheme="minorHAnsi"/>
                <w:b/>
                <w:bCs/>
                <w:color w:val="0070C0"/>
                <w:u w:val="single"/>
              </w:rPr>
              <w:t>nie spowoduje dodatkowych skutków finansowych dla budżetu państwa. Koszty zatrudnienia 3 nowych pracowników zostaną pokryte z części 39 – Transport, której dysponentem jest minister właściwy do spraw transportu w ramach przydzielonego limitu środków finansowych na dany rok budżetowy.</w:t>
            </w:r>
            <w:r w:rsidRPr="00CD2E8F">
              <w:rPr>
                <w:rFonts w:cstheme="minorHAnsi"/>
                <w:b/>
                <w:bCs/>
                <w:color w:val="0070C0"/>
              </w:rPr>
              <w:t xml:space="preserve"> Planowane zatrudnienie nastąpi w okresie dwóch lat tj. w roku 2027 dwa etaty, a w roku 2028 jeden etat.</w:t>
            </w:r>
          </w:p>
          <w:p w14:paraId="2EADFE21" w14:textId="42A2E1E0" w:rsidR="00CD2E8F" w:rsidRPr="00CD2E8F" w:rsidRDefault="00CD2E8F" w:rsidP="0042202B">
            <w:pPr>
              <w:autoSpaceDE w:val="0"/>
              <w:autoSpaceDN w:val="0"/>
              <w:adjustRightInd w:val="0"/>
              <w:rPr>
                <w:rFonts w:cstheme="minorHAnsi"/>
                <w:b/>
                <w:bCs/>
              </w:rPr>
            </w:pPr>
          </w:p>
        </w:tc>
      </w:tr>
      <w:tr w:rsidR="0075728B" w:rsidRPr="00F515D6" w14:paraId="35034446" w14:textId="63FB0C48" w:rsidTr="00D76FE7">
        <w:tc>
          <w:tcPr>
            <w:tcW w:w="562" w:type="dxa"/>
          </w:tcPr>
          <w:p w14:paraId="06A29F99" w14:textId="77777777" w:rsidR="0075728B" w:rsidRPr="00957D8C" w:rsidRDefault="0075728B" w:rsidP="0042202B">
            <w:pPr>
              <w:rPr>
                <w:rFonts w:cstheme="minorHAnsi"/>
                <w:b/>
              </w:rPr>
            </w:pPr>
            <w:r w:rsidRPr="00957D8C">
              <w:rPr>
                <w:rFonts w:cstheme="minorHAnsi"/>
                <w:b/>
              </w:rPr>
              <w:t>111</w:t>
            </w:r>
          </w:p>
        </w:tc>
        <w:tc>
          <w:tcPr>
            <w:tcW w:w="993" w:type="dxa"/>
          </w:tcPr>
          <w:p w14:paraId="27D15825" w14:textId="77777777" w:rsidR="0075728B" w:rsidRPr="00957D8C" w:rsidRDefault="0075728B" w:rsidP="0042202B">
            <w:pPr>
              <w:rPr>
                <w:rFonts w:cstheme="minorHAnsi"/>
                <w:b/>
              </w:rPr>
            </w:pPr>
            <w:r w:rsidRPr="00957D8C">
              <w:rPr>
                <w:rFonts w:cstheme="minorHAnsi"/>
                <w:b/>
              </w:rPr>
              <w:t>MFiG</w:t>
            </w:r>
          </w:p>
        </w:tc>
        <w:tc>
          <w:tcPr>
            <w:tcW w:w="1701" w:type="dxa"/>
          </w:tcPr>
          <w:p w14:paraId="252F59B0" w14:textId="77777777" w:rsidR="0075728B" w:rsidRPr="00957D8C" w:rsidRDefault="0075728B" w:rsidP="0042202B">
            <w:pPr>
              <w:rPr>
                <w:rFonts w:cstheme="minorHAnsi"/>
                <w:b/>
              </w:rPr>
            </w:pPr>
            <w:r w:rsidRPr="00957D8C">
              <w:rPr>
                <w:rFonts w:cstheme="minorHAnsi"/>
                <w:b/>
              </w:rPr>
              <w:t>Pkt 6 OSR</w:t>
            </w:r>
          </w:p>
        </w:tc>
        <w:tc>
          <w:tcPr>
            <w:tcW w:w="5953" w:type="dxa"/>
          </w:tcPr>
          <w:p w14:paraId="24906B0A" w14:textId="26F543D2" w:rsidR="0075728B" w:rsidRPr="00957D8C" w:rsidRDefault="0075728B" w:rsidP="0042202B">
            <w:pPr>
              <w:autoSpaceDE w:val="0"/>
              <w:autoSpaceDN w:val="0"/>
              <w:adjustRightInd w:val="0"/>
              <w:rPr>
                <w:rFonts w:cstheme="minorHAnsi"/>
                <w:b/>
              </w:rPr>
            </w:pPr>
            <w:r w:rsidRPr="00957D8C">
              <w:rPr>
                <w:rFonts w:cstheme="minorHAnsi"/>
                <w:b/>
              </w:rPr>
              <w:t>Jednocześnie zwracam uwagę, że od 2025 r. wydatki państwowych osób prawnych uwzględniane są w ramach SRW, a co za tym idzie wpływają na dostępną przestrzeń wydatkową. Pomimo, iż zatrudnienie dodatkowych pracowników w TDT oraz inne koszty wynikające z wprowadzanych zmian miałyby być finansowane z pobieranych przez jednostkę opłat, wpłynie to na zwiększenie łącznych wydatków w planie państwowej osoby prawnej.  Z tego powodu należy dokonać ponownej weryfikacji zakładanego zwiększenia etatowego TDT oraz kosztów pozapłacowych tego zwiększenia, a powstałe wydatki finansować w jak największym stopniu ramach dostępnych oszczędności w planie finansowym, bez konieczności zwiększania łącznych wydatków. Dodatkowo informuję, że zgodnie z art. 30 ust. 6-8 ustawy o finansach publicznych, zmiany w planach finansowych państwowych osób prawnych w trakcie roku budżetowego mogą wymagać zgody Ministra Finansów i uzyskania opinii sejmowej komisji właściwej do spraw budżetu.</w:t>
            </w:r>
          </w:p>
        </w:tc>
        <w:tc>
          <w:tcPr>
            <w:tcW w:w="3827" w:type="dxa"/>
          </w:tcPr>
          <w:p w14:paraId="536717A7" w14:textId="50648839" w:rsidR="0075728B" w:rsidRPr="00957D8C" w:rsidRDefault="0075728B" w:rsidP="0042202B">
            <w:pPr>
              <w:rPr>
                <w:rFonts w:cstheme="minorHAnsi"/>
                <w:b/>
              </w:rPr>
            </w:pPr>
            <w:r>
              <w:rPr>
                <w:rFonts w:cstheme="minorHAnsi"/>
                <w:b/>
              </w:rPr>
              <w:t xml:space="preserve">Uwaga uwzględniona. </w:t>
            </w:r>
            <w:r w:rsidRPr="00957D8C">
              <w:rPr>
                <w:rFonts w:cstheme="minorHAnsi"/>
                <w:b/>
              </w:rPr>
              <w:t xml:space="preserve">Wprowadzono </w:t>
            </w:r>
            <w:r>
              <w:rPr>
                <w:rFonts w:cstheme="minorHAnsi"/>
                <w:b/>
              </w:rPr>
              <w:t xml:space="preserve">stosowne </w:t>
            </w:r>
            <w:r w:rsidRPr="00957D8C">
              <w:rPr>
                <w:rFonts w:cstheme="minorHAnsi"/>
                <w:b/>
              </w:rPr>
              <w:t>zmiany w OSR</w:t>
            </w:r>
            <w:r>
              <w:rPr>
                <w:rFonts w:cstheme="minorHAnsi"/>
                <w:b/>
              </w:rPr>
              <w:t>, w tym dokonano weryfikacji kosztów związanych z wykonywaniem przez TDT zadań, w tym w kontekście nadzoru rynku i zmniejszenia zatrudnienia w tym obszarze</w:t>
            </w:r>
            <w:r w:rsidRPr="00957D8C">
              <w:rPr>
                <w:rFonts w:cstheme="minorHAnsi"/>
                <w:b/>
              </w:rPr>
              <w:t>.</w:t>
            </w:r>
          </w:p>
        </w:tc>
        <w:tc>
          <w:tcPr>
            <w:tcW w:w="3686" w:type="dxa"/>
          </w:tcPr>
          <w:p w14:paraId="3E68149E" w14:textId="19760889" w:rsidR="00D76FE7" w:rsidRPr="006F5BB5" w:rsidRDefault="00D76FE7" w:rsidP="0042202B">
            <w:pPr>
              <w:autoSpaceDE w:val="0"/>
              <w:autoSpaceDN w:val="0"/>
              <w:adjustRightInd w:val="0"/>
              <w:rPr>
                <w:rFonts w:cstheme="minorHAnsi"/>
                <w:b/>
              </w:rPr>
            </w:pPr>
            <w:r w:rsidRPr="006F5BB5">
              <w:rPr>
                <w:rFonts w:cstheme="minorHAnsi"/>
                <w:b/>
              </w:rPr>
              <w:t>Ponownie zwrócono uwagę, iż od 2025 r. wydatki państwowych osób prawnych uwzględniane są w stabilizującej regule wydatkowej (SRW), a co za tym idzie wpływają na dostępną przestrzeń wydatkową. Pomimo, iż zatrudnienie dodatkowych pracowników w TDT oraz inne koszty wynikające z wprowadzanych zmian miałyby być finansowane z pobieranych przez jednostkę opłat, wpłynie to na zwiększenie łącznych wydatków w planie państwowej osoby prawnej. W zestawieniu przy uwadze nr 111 projektodawca wskazał, że uwaga</w:t>
            </w:r>
          </w:p>
          <w:p w14:paraId="52DFB16B" w14:textId="77777777" w:rsidR="006F5BB5" w:rsidRDefault="00D76FE7" w:rsidP="0042202B">
            <w:pPr>
              <w:autoSpaceDE w:val="0"/>
              <w:autoSpaceDN w:val="0"/>
              <w:adjustRightInd w:val="0"/>
              <w:rPr>
                <w:rFonts w:cstheme="minorHAnsi"/>
                <w:b/>
              </w:rPr>
            </w:pPr>
            <w:r w:rsidRPr="006F5BB5">
              <w:rPr>
                <w:rFonts w:cstheme="minorHAnsi"/>
                <w:b/>
              </w:rPr>
              <w:t>została uwzględniona i wprowadzono stosowne zmiany w OSR, w tym dokonano weryfikacji kosztów związanych z wykonywaniem przez TDT</w:t>
            </w:r>
            <w:r w:rsidR="006F5BB5">
              <w:rPr>
                <w:rFonts w:cstheme="minorHAnsi"/>
                <w:b/>
              </w:rPr>
              <w:t xml:space="preserve"> </w:t>
            </w:r>
            <w:r w:rsidRPr="006F5BB5">
              <w:rPr>
                <w:rFonts w:cstheme="minorHAnsi"/>
                <w:b/>
              </w:rPr>
              <w:t xml:space="preserve">zadań, w tym w kontekście nadzoru rynku i zmniejszenia zatrudnienia w tym obszarze.  Informujemy, że zakładane zwiększone wydatki powinny być finansowane w jak największym stopniu w ramach dostępnych oszczędności w planie finansowym, bez konieczności zwiększania łącznych wydatków. </w:t>
            </w:r>
          </w:p>
          <w:p w14:paraId="23EC8B56" w14:textId="6AA632A1" w:rsidR="00D76FE7" w:rsidRPr="006F5BB5" w:rsidRDefault="00D76FE7" w:rsidP="0042202B">
            <w:pPr>
              <w:autoSpaceDE w:val="0"/>
              <w:autoSpaceDN w:val="0"/>
              <w:adjustRightInd w:val="0"/>
              <w:rPr>
                <w:rFonts w:cstheme="minorHAnsi"/>
                <w:b/>
              </w:rPr>
            </w:pPr>
            <w:r w:rsidRPr="006F5BB5">
              <w:rPr>
                <w:rFonts w:cstheme="minorHAnsi"/>
                <w:b/>
              </w:rPr>
              <w:t>Należy przeprowadzić kolejne analizy w zakresie zasadności wzrostu wydatków TDT.</w:t>
            </w:r>
          </w:p>
          <w:p w14:paraId="3631CA34" w14:textId="77777777" w:rsidR="0075728B" w:rsidRPr="006F5BB5" w:rsidRDefault="00D76FE7" w:rsidP="0042202B">
            <w:pPr>
              <w:autoSpaceDE w:val="0"/>
              <w:autoSpaceDN w:val="0"/>
              <w:adjustRightInd w:val="0"/>
              <w:rPr>
                <w:rFonts w:cstheme="minorHAnsi"/>
                <w:b/>
              </w:rPr>
            </w:pPr>
            <w:bookmarkStart w:id="69" w:name="_Hlk231403116"/>
            <w:r w:rsidRPr="006F5BB5">
              <w:rPr>
                <w:rFonts w:cstheme="minorHAnsi"/>
                <w:b/>
              </w:rPr>
              <w:t xml:space="preserve">Ponadto w projekcie ustawy brak jest przepisu określającego maksymalny limit wydatków będących skutkiem wejścia w życie ustawy dla Transportowego Dozoru Technicznego. Obowiązek taki, wobec jednostek sektora finansów publicznych wynika z art. 50 ust. 1a ustawy o finansach </w:t>
            </w:r>
            <w:bookmarkEnd w:id="69"/>
            <w:r w:rsidR="00CD2E8F" w:rsidRPr="006F5BB5">
              <w:rPr>
                <w:rFonts w:cstheme="minorHAnsi"/>
                <w:b/>
              </w:rPr>
              <w:t>publicznych.</w:t>
            </w:r>
          </w:p>
          <w:p w14:paraId="053A5CA1" w14:textId="77777777" w:rsidR="00CD2E8F" w:rsidRPr="00CD2E8F" w:rsidRDefault="00CD2E8F" w:rsidP="0042202B">
            <w:pPr>
              <w:autoSpaceDE w:val="0"/>
              <w:autoSpaceDN w:val="0"/>
              <w:adjustRightInd w:val="0"/>
              <w:rPr>
                <w:rFonts w:cstheme="minorHAnsi"/>
                <w:bCs/>
              </w:rPr>
            </w:pPr>
          </w:p>
          <w:p w14:paraId="0CE069F5" w14:textId="3E994FD4" w:rsidR="00CD2E8F" w:rsidRDefault="00CD2E8F" w:rsidP="0042202B">
            <w:pPr>
              <w:rPr>
                <w:rFonts w:cstheme="minorHAnsi"/>
                <w:b/>
                <w:color w:val="0070C0"/>
              </w:rPr>
            </w:pPr>
            <w:r w:rsidRPr="00CD2E8F">
              <w:rPr>
                <w:rFonts w:cstheme="minorHAnsi"/>
                <w:b/>
                <w:color w:val="0070C0"/>
              </w:rPr>
              <w:t xml:space="preserve">Wprowadzono mechanizm w projekcie: </w:t>
            </w:r>
          </w:p>
          <w:p w14:paraId="1A9853E1" w14:textId="77777777" w:rsidR="00CD2E8F" w:rsidRPr="00CD2E8F" w:rsidRDefault="00CD2E8F" w:rsidP="0042202B">
            <w:pPr>
              <w:rPr>
                <w:rFonts w:cstheme="minorHAnsi"/>
                <w:b/>
                <w:color w:val="0070C0"/>
              </w:rPr>
            </w:pPr>
          </w:p>
          <w:p w14:paraId="02FF280F" w14:textId="77777777" w:rsidR="00CD2E8F" w:rsidRPr="00CD2E8F" w:rsidRDefault="00CD2E8F" w:rsidP="0042202B">
            <w:pPr>
              <w:rPr>
                <w:rFonts w:cstheme="minorHAnsi"/>
                <w:b/>
                <w:color w:val="0070C0"/>
              </w:rPr>
            </w:pPr>
            <w:r w:rsidRPr="00CD2E8F">
              <w:rPr>
                <w:rFonts w:cstheme="minorHAnsi"/>
                <w:b/>
                <w:color w:val="0070C0"/>
              </w:rPr>
              <w:t>Art. 18. 1. W latach 2026–2036 maksymalny limit wydatków Transportowego Dozoru Technicznego będący skutkiem finansowym wejścia w życie niniejszej ustawy wynosi 922,96 mln zł, z tym że w:</w:t>
            </w:r>
          </w:p>
          <w:p w14:paraId="11B06A12" w14:textId="77777777" w:rsidR="00CD2E8F" w:rsidRPr="00CD2E8F" w:rsidRDefault="00CD2E8F" w:rsidP="0042202B">
            <w:pPr>
              <w:rPr>
                <w:rFonts w:cstheme="minorHAnsi"/>
                <w:b/>
                <w:color w:val="0070C0"/>
              </w:rPr>
            </w:pPr>
            <w:r w:rsidRPr="00CD2E8F">
              <w:rPr>
                <w:rFonts w:cstheme="minorHAnsi"/>
                <w:b/>
                <w:color w:val="0070C0"/>
              </w:rPr>
              <w:t>1)</w:t>
            </w:r>
            <w:r w:rsidRPr="00CD2E8F">
              <w:rPr>
                <w:rFonts w:cstheme="minorHAnsi"/>
                <w:b/>
                <w:color w:val="0070C0"/>
              </w:rPr>
              <w:tab/>
              <w:t>2026 r. – 12,39 mln zł;</w:t>
            </w:r>
          </w:p>
          <w:p w14:paraId="37E1E4DF" w14:textId="77777777" w:rsidR="00CD2E8F" w:rsidRPr="00CD2E8F" w:rsidRDefault="00CD2E8F" w:rsidP="0042202B">
            <w:pPr>
              <w:rPr>
                <w:rFonts w:cstheme="minorHAnsi"/>
                <w:b/>
                <w:color w:val="0070C0"/>
              </w:rPr>
            </w:pPr>
            <w:r w:rsidRPr="00CD2E8F">
              <w:rPr>
                <w:rFonts w:cstheme="minorHAnsi"/>
                <w:b/>
                <w:color w:val="0070C0"/>
              </w:rPr>
              <w:t>2)</w:t>
            </w:r>
            <w:r w:rsidRPr="00CD2E8F">
              <w:rPr>
                <w:rFonts w:cstheme="minorHAnsi"/>
                <w:b/>
                <w:color w:val="0070C0"/>
              </w:rPr>
              <w:tab/>
              <w:t>2027 r. – 60,08 mln zł;</w:t>
            </w:r>
          </w:p>
          <w:p w14:paraId="70160F8F" w14:textId="77777777" w:rsidR="00CD2E8F" w:rsidRPr="00CD2E8F" w:rsidRDefault="00CD2E8F" w:rsidP="0042202B">
            <w:pPr>
              <w:rPr>
                <w:rFonts w:cstheme="minorHAnsi"/>
                <w:b/>
                <w:color w:val="0070C0"/>
              </w:rPr>
            </w:pPr>
            <w:r w:rsidRPr="00CD2E8F">
              <w:rPr>
                <w:rFonts w:cstheme="minorHAnsi"/>
                <w:b/>
                <w:color w:val="0070C0"/>
              </w:rPr>
              <w:t>3)</w:t>
            </w:r>
            <w:r w:rsidRPr="00CD2E8F">
              <w:rPr>
                <w:rFonts w:cstheme="minorHAnsi"/>
                <w:b/>
                <w:color w:val="0070C0"/>
              </w:rPr>
              <w:tab/>
              <w:t>2028 r. – 82,29 mln zł;</w:t>
            </w:r>
          </w:p>
          <w:p w14:paraId="195FC4E8" w14:textId="77777777" w:rsidR="00CD2E8F" w:rsidRPr="00CD2E8F" w:rsidRDefault="00CD2E8F" w:rsidP="0042202B">
            <w:pPr>
              <w:rPr>
                <w:rFonts w:cstheme="minorHAnsi"/>
                <w:b/>
                <w:color w:val="0070C0"/>
              </w:rPr>
            </w:pPr>
            <w:r w:rsidRPr="00CD2E8F">
              <w:rPr>
                <w:rFonts w:cstheme="minorHAnsi"/>
                <w:b/>
                <w:color w:val="0070C0"/>
              </w:rPr>
              <w:t>4)</w:t>
            </w:r>
            <w:r w:rsidRPr="00CD2E8F">
              <w:rPr>
                <w:rFonts w:cstheme="minorHAnsi"/>
                <w:b/>
                <w:color w:val="0070C0"/>
              </w:rPr>
              <w:tab/>
              <w:t>2029 r. – 91,85 mln zł;</w:t>
            </w:r>
          </w:p>
          <w:p w14:paraId="0A11B7C0" w14:textId="77777777" w:rsidR="00CD2E8F" w:rsidRPr="00CD2E8F" w:rsidRDefault="00CD2E8F" w:rsidP="0042202B">
            <w:pPr>
              <w:rPr>
                <w:rFonts w:cstheme="minorHAnsi"/>
                <w:b/>
                <w:color w:val="0070C0"/>
              </w:rPr>
            </w:pPr>
            <w:r w:rsidRPr="00CD2E8F">
              <w:rPr>
                <w:rFonts w:cstheme="minorHAnsi"/>
                <w:b/>
                <w:color w:val="0070C0"/>
              </w:rPr>
              <w:t>5)</w:t>
            </w:r>
            <w:r w:rsidRPr="00CD2E8F">
              <w:rPr>
                <w:rFonts w:cstheme="minorHAnsi"/>
                <w:b/>
                <w:color w:val="0070C0"/>
              </w:rPr>
              <w:tab/>
              <w:t>2030 r. – 89,94 mln zł;</w:t>
            </w:r>
          </w:p>
          <w:p w14:paraId="64C2EE74" w14:textId="77777777" w:rsidR="00CD2E8F" w:rsidRPr="00CD2E8F" w:rsidRDefault="00CD2E8F" w:rsidP="0042202B">
            <w:pPr>
              <w:rPr>
                <w:rFonts w:cstheme="minorHAnsi"/>
                <w:b/>
                <w:color w:val="0070C0"/>
              </w:rPr>
            </w:pPr>
            <w:r w:rsidRPr="00CD2E8F">
              <w:rPr>
                <w:rFonts w:cstheme="minorHAnsi"/>
                <w:b/>
                <w:color w:val="0070C0"/>
              </w:rPr>
              <w:t>6)</w:t>
            </w:r>
            <w:r w:rsidRPr="00CD2E8F">
              <w:rPr>
                <w:rFonts w:cstheme="minorHAnsi"/>
                <w:b/>
                <w:color w:val="0070C0"/>
              </w:rPr>
              <w:tab/>
              <w:t>2031 r. – 93,39 mln zł;</w:t>
            </w:r>
          </w:p>
          <w:p w14:paraId="2542D0B4" w14:textId="77777777" w:rsidR="00CD2E8F" w:rsidRPr="00CD2E8F" w:rsidRDefault="00CD2E8F" w:rsidP="0042202B">
            <w:pPr>
              <w:rPr>
                <w:rFonts w:cstheme="minorHAnsi"/>
                <w:b/>
                <w:color w:val="0070C0"/>
              </w:rPr>
            </w:pPr>
            <w:r w:rsidRPr="00CD2E8F">
              <w:rPr>
                <w:rFonts w:cstheme="minorHAnsi"/>
                <w:b/>
                <w:color w:val="0070C0"/>
              </w:rPr>
              <w:t>7)</w:t>
            </w:r>
            <w:r w:rsidRPr="00CD2E8F">
              <w:rPr>
                <w:rFonts w:cstheme="minorHAnsi"/>
                <w:b/>
                <w:color w:val="0070C0"/>
              </w:rPr>
              <w:tab/>
              <w:t>2032 r. – 94,60 mln zł;</w:t>
            </w:r>
          </w:p>
          <w:p w14:paraId="0F4D46D6" w14:textId="77777777" w:rsidR="00CD2E8F" w:rsidRPr="00CD2E8F" w:rsidRDefault="00CD2E8F" w:rsidP="0042202B">
            <w:pPr>
              <w:rPr>
                <w:rFonts w:cstheme="minorHAnsi"/>
                <w:b/>
                <w:color w:val="0070C0"/>
              </w:rPr>
            </w:pPr>
            <w:r w:rsidRPr="00CD2E8F">
              <w:rPr>
                <w:rFonts w:cstheme="minorHAnsi"/>
                <w:b/>
                <w:color w:val="0070C0"/>
              </w:rPr>
              <w:t>8)</w:t>
            </w:r>
            <w:r w:rsidRPr="00CD2E8F">
              <w:rPr>
                <w:rFonts w:cstheme="minorHAnsi"/>
                <w:b/>
                <w:color w:val="0070C0"/>
              </w:rPr>
              <w:tab/>
              <w:t>2033 r. – 96,43 mln zł;</w:t>
            </w:r>
          </w:p>
          <w:p w14:paraId="22A3311F" w14:textId="77777777" w:rsidR="00CD2E8F" w:rsidRPr="00CD2E8F" w:rsidRDefault="00CD2E8F" w:rsidP="0042202B">
            <w:pPr>
              <w:rPr>
                <w:rFonts w:cstheme="minorHAnsi"/>
                <w:b/>
                <w:color w:val="0070C0"/>
              </w:rPr>
            </w:pPr>
            <w:r w:rsidRPr="00CD2E8F">
              <w:rPr>
                <w:rFonts w:cstheme="minorHAnsi"/>
                <w:b/>
                <w:color w:val="0070C0"/>
              </w:rPr>
              <w:t>9)</w:t>
            </w:r>
            <w:r w:rsidRPr="00CD2E8F">
              <w:rPr>
                <w:rFonts w:cstheme="minorHAnsi"/>
                <w:b/>
                <w:color w:val="0070C0"/>
              </w:rPr>
              <w:tab/>
              <w:t>2034 r. – 99,28 mln zł;</w:t>
            </w:r>
          </w:p>
          <w:p w14:paraId="69A040A2" w14:textId="77777777" w:rsidR="00CD2E8F" w:rsidRPr="00CD2E8F" w:rsidRDefault="00CD2E8F" w:rsidP="0042202B">
            <w:pPr>
              <w:rPr>
                <w:rFonts w:cstheme="minorHAnsi"/>
                <w:b/>
                <w:color w:val="0070C0"/>
              </w:rPr>
            </w:pPr>
            <w:r w:rsidRPr="00CD2E8F">
              <w:rPr>
                <w:rFonts w:cstheme="minorHAnsi"/>
                <w:b/>
                <w:color w:val="0070C0"/>
              </w:rPr>
              <w:t>10)</w:t>
            </w:r>
            <w:r w:rsidRPr="00CD2E8F">
              <w:rPr>
                <w:rFonts w:cstheme="minorHAnsi"/>
                <w:b/>
                <w:color w:val="0070C0"/>
              </w:rPr>
              <w:tab/>
              <w:t>2035 r. – 99,51 mln zł.</w:t>
            </w:r>
          </w:p>
          <w:p w14:paraId="43DC86E7" w14:textId="77777777" w:rsidR="00CD2E8F" w:rsidRPr="00CD2E8F" w:rsidRDefault="00CD2E8F" w:rsidP="0042202B">
            <w:pPr>
              <w:rPr>
                <w:rFonts w:cstheme="minorHAnsi"/>
                <w:b/>
                <w:color w:val="0070C0"/>
              </w:rPr>
            </w:pPr>
            <w:r w:rsidRPr="00CD2E8F">
              <w:rPr>
                <w:rFonts w:cstheme="minorHAnsi"/>
                <w:b/>
                <w:color w:val="0070C0"/>
              </w:rPr>
              <w:t>11)</w:t>
            </w:r>
            <w:r w:rsidRPr="00CD2E8F">
              <w:rPr>
                <w:rFonts w:cstheme="minorHAnsi"/>
                <w:b/>
                <w:color w:val="0070C0"/>
              </w:rPr>
              <w:tab/>
              <w:t>2036 r. – 103,20 mln zł.</w:t>
            </w:r>
          </w:p>
          <w:p w14:paraId="7E303603" w14:textId="77777777" w:rsidR="00CD2E8F" w:rsidRPr="00CD2E8F" w:rsidRDefault="00CD2E8F" w:rsidP="0042202B">
            <w:pPr>
              <w:rPr>
                <w:rFonts w:cstheme="minorHAnsi"/>
                <w:b/>
                <w:color w:val="0070C0"/>
              </w:rPr>
            </w:pPr>
            <w:r w:rsidRPr="00CD2E8F">
              <w:rPr>
                <w:rFonts w:cstheme="minorHAnsi"/>
                <w:b/>
                <w:color w:val="0070C0"/>
              </w:rPr>
              <w:t>2. W przypadku przekroczenia lub zagrożenia przekroczenia przyjętego na dany rok budżetowy maksymalnego limitu wydatków, o którym mowa w ust. 1, wprowadza się mechanizm korygujący polegający na ograniczeniu wydatków przeznaczonych na sfinansowanie zadań wynikających z ustawy.</w:t>
            </w:r>
          </w:p>
          <w:p w14:paraId="4CC02959" w14:textId="2E38F0F3" w:rsidR="00CD2E8F" w:rsidRPr="00CD2E8F" w:rsidRDefault="00CD2E8F" w:rsidP="0042202B">
            <w:pPr>
              <w:rPr>
                <w:rFonts w:cstheme="minorHAnsi"/>
                <w:b/>
                <w:color w:val="0070C0"/>
              </w:rPr>
            </w:pPr>
            <w:r w:rsidRPr="00CD2E8F">
              <w:rPr>
                <w:rFonts w:cstheme="minorHAnsi"/>
                <w:b/>
                <w:color w:val="0070C0"/>
              </w:rPr>
              <w:t xml:space="preserve">3. Minister właściwy do spraw transportu monitoruje wykorzystanie limitu wydatków, o których mowa w ust. 1, oraz w razie potrzeby wdraża mechanizm korygujący. </w:t>
            </w:r>
          </w:p>
          <w:p w14:paraId="31130D42" w14:textId="60ED5B9C" w:rsidR="00CD2E8F" w:rsidRPr="00CD2E8F" w:rsidRDefault="00CD2E8F" w:rsidP="0042202B">
            <w:pPr>
              <w:autoSpaceDE w:val="0"/>
              <w:autoSpaceDN w:val="0"/>
              <w:adjustRightInd w:val="0"/>
              <w:rPr>
                <w:rFonts w:cstheme="minorHAnsi"/>
                <w:bCs/>
              </w:rPr>
            </w:pPr>
          </w:p>
        </w:tc>
      </w:tr>
      <w:tr w:rsidR="0075728B" w:rsidRPr="00F515D6" w14:paraId="0FEFE788" w14:textId="42F0746B" w:rsidTr="00D76FE7">
        <w:tc>
          <w:tcPr>
            <w:tcW w:w="562" w:type="dxa"/>
          </w:tcPr>
          <w:p w14:paraId="595F0CC4" w14:textId="77777777" w:rsidR="0075728B" w:rsidRPr="00957D8C" w:rsidRDefault="0075728B" w:rsidP="0042202B">
            <w:pPr>
              <w:rPr>
                <w:rFonts w:cstheme="minorHAnsi"/>
                <w:b/>
              </w:rPr>
            </w:pPr>
            <w:r w:rsidRPr="00957D8C">
              <w:rPr>
                <w:rFonts w:cstheme="minorHAnsi"/>
                <w:b/>
              </w:rPr>
              <w:t>112</w:t>
            </w:r>
          </w:p>
        </w:tc>
        <w:tc>
          <w:tcPr>
            <w:tcW w:w="993" w:type="dxa"/>
          </w:tcPr>
          <w:p w14:paraId="2E79A527" w14:textId="77777777" w:rsidR="0075728B" w:rsidRPr="00957D8C" w:rsidRDefault="0075728B" w:rsidP="0042202B">
            <w:pPr>
              <w:rPr>
                <w:rFonts w:cstheme="minorHAnsi"/>
                <w:b/>
              </w:rPr>
            </w:pPr>
            <w:r w:rsidRPr="00957D8C">
              <w:rPr>
                <w:rFonts w:cstheme="minorHAnsi"/>
                <w:b/>
              </w:rPr>
              <w:t>MFiG</w:t>
            </w:r>
          </w:p>
        </w:tc>
        <w:tc>
          <w:tcPr>
            <w:tcW w:w="1701" w:type="dxa"/>
          </w:tcPr>
          <w:p w14:paraId="0BC19CDE" w14:textId="77777777" w:rsidR="0075728B" w:rsidRPr="00957D8C" w:rsidRDefault="0075728B" w:rsidP="0042202B">
            <w:pPr>
              <w:rPr>
                <w:rFonts w:cstheme="minorHAnsi"/>
                <w:b/>
              </w:rPr>
            </w:pPr>
            <w:r w:rsidRPr="00957D8C">
              <w:rPr>
                <w:rFonts w:cstheme="minorHAnsi"/>
                <w:b/>
              </w:rPr>
              <w:t>Pkt 6 OSR</w:t>
            </w:r>
          </w:p>
        </w:tc>
        <w:tc>
          <w:tcPr>
            <w:tcW w:w="5953" w:type="dxa"/>
          </w:tcPr>
          <w:p w14:paraId="1DABA001" w14:textId="77777777" w:rsidR="0075728B" w:rsidRPr="00957D8C" w:rsidRDefault="0075728B" w:rsidP="0042202B">
            <w:pPr>
              <w:autoSpaceDE w:val="0"/>
              <w:autoSpaceDN w:val="0"/>
              <w:adjustRightInd w:val="0"/>
              <w:rPr>
                <w:rFonts w:cstheme="minorHAnsi"/>
                <w:b/>
              </w:rPr>
            </w:pPr>
            <w:r w:rsidRPr="00957D8C">
              <w:rPr>
                <w:rFonts w:cstheme="minorHAnsi"/>
                <w:b/>
              </w:rPr>
              <w:t>Skutki finansowe projektowanej ustawy obciążającej budżet państwa, w 2026 roku i w latach następnych, powinny być poniesione w pierwszej kolejności z uwzględnieniem możliwości wygenerowania oszczędności w budżecie dysponentów poszczególnych części, poprzez zmniejszenie innych wydatków lub racjonalizację kosztów  w ramach przyznanego limitu wydatków na dany rok budżetowy, bez opcji dodatkowych środków budżetowych, w tym przede wszystkim w zakresie kosztów osobowych (kadrowych).</w:t>
            </w:r>
          </w:p>
          <w:p w14:paraId="5C261869" w14:textId="77777777" w:rsidR="0075728B" w:rsidRPr="00957D8C" w:rsidRDefault="0075728B" w:rsidP="0042202B">
            <w:pPr>
              <w:autoSpaceDE w:val="0"/>
              <w:autoSpaceDN w:val="0"/>
              <w:adjustRightInd w:val="0"/>
              <w:rPr>
                <w:rFonts w:cstheme="minorHAnsi"/>
                <w:b/>
              </w:rPr>
            </w:pPr>
            <w:r w:rsidRPr="00957D8C">
              <w:rPr>
                <w:rFonts w:cstheme="minorHAnsi"/>
                <w:b/>
              </w:rPr>
              <w:t xml:space="preserve">W pkt 6 OSR w części </w:t>
            </w:r>
            <w:r w:rsidRPr="00957D8C">
              <w:rPr>
                <w:rFonts w:cstheme="minorHAnsi"/>
                <w:b/>
                <w:i/>
                <w:iCs/>
              </w:rPr>
              <w:t>Źródła finansowania</w:t>
            </w:r>
            <w:r w:rsidRPr="00957D8C">
              <w:rPr>
                <w:rFonts w:cstheme="minorHAnsi"/>
                <w:b/>
              </w:rPr>
              <w:t xml:space="preserve"> należy uzupełnić o informację, iż ww. wydatki budżetu państwa zostaną sfinansowane w ramach limitu wydatków określonego w ustawach budżetowych na kolejne lata, we właściwej części budżetowej, bez konieczności pozyskania dodatkowych środków na ten cel. </w:t>
            </w:r>
          </w:p>
          <w:p w14:paraId="3C834A03" w14:textId="28A6F2B0" w:rsidR="0075728B" w:rsidRPr="00957D8C" w:rsidRDefault="0075728B" w:rsidP="0042202B">
            <w:pPr>
              <w:autoSpaceDE w:val="0"/>
              <w:autoSpaceDN w:val="0"/>
              <w:adjustRightInd w:val="0"/>
              <w:rPr>
                <w:rFonts w:cstheme="minorHAnsi"/>
                <w:b/>
              </w:rPr>
            </w:pPr>
            <w:r w:rsidRPr="00957D8C">
              <w:rPr>
                <w:rFonts w:cstheme="minorHAnsi"/>
                <w:b/>
              </w:rPr>
              <w:t>Ponadto, w odniesieniu do wydatków zaplanowanych na rok 2026 należy wyjaśnić</w:t>
            </w:r>
            <w:r>
              <w:rPr>
                <w:rFonts w:cstheme="minorHAnsi"/>
                <w:b/>
              </w:rPr>
              <w:t>,</w:t>
            </w:r>
            <w:r w:rsidRPr="00957D8C">
              <w:rPr>
                <w:rFonts w:cstheme="minorHAnsi"/>
                <w:b/>
              </w:rPr>
              <w:t xml:space="preserve"> czy zostały one ujęte w ustawie budżetowej na 2026 r.</w:t>
            </w:r>
          </w:p>
        </w:tc>
        <w:tc>
          <w:tcPr>
            <w:tcW w:w="3827" w:type="dxa"/>
          </w:tcPr>
          <w:p w14:paraId="0B54CCA4" w14:textId="74FFCDD3" w:rsidR="0075728B" w:rsidRDefault="0075728B" w:rsidP="0042202B">
            <w:pPr>
              <w:rPr>
                <w:rFonts w:cstheme="minorHAnsi"/>
                <w:b/>
              </w:rPr>
            </w:pPr>
            <w:r>
              <w:rPr>
                <w:rFonts w:cstheme="minorHAnsi"/>
                <w:b/>
              </w:rPr>
              <w:t xml:space="preserve">MI podtrzymuje stanowisko, iż nie dysponuje obecnie zasobami kadrowymi, które zagwarantowałyby płynną realizację zadań – i pozwalały na zmniejszenie docelowego zatrudnienia w ilości 6 osób. Brak jest również możliwości dokonania przesunięć kadrowych wewnątrz MI. </w:t>
            </w:r>
          </w:p>
          <w:p w14:paraId="4FA0BE86" w14:textId="77777777" w:rsidR="0075728B" w:rsidRDefault="0075728B" w:rsidP="0042202B">
            <w:pPr>
              <w:rPr>
                <w:rFonts w:cstheme="minorHAnsi"/>
                <w:b/>
              </w:rPr>
            </w:pPr>
          </w:p>
          <w:p w14:paraId="13BB3513" w14:textId="1F7AEB6D" w:rsidR="0075728B" w:rsidRPr="00957D8C" w:rsidRDefault="0075728B" w:rsidP="0042202B">
            <w:pPr>
              <w:rPr>
                <w:rFonts w:cstheme="minorHAnsi"/>
                <w:b/>
              </w:rPr>
            </w:pPr>
            <w:r>
              <w:rPr>
                <w:rFonts w:cstheme="minorHAnsi"/>
                <w:b/>
              </w:rPr>
              <w:t xml:space="preserve">Uwaga wyjaśniona. W </w:t>
            </w:r>
            <w:r w:rsidRPr="00957D8C">
              <w:rPr>
                <w:rFonts w:cstheme="minorHAnsi"/>
                <w:b/>
              </w:rPr>
              <w:t xml:space="preserve">odniesieniu do wydatków zaplanowanych na rok 2026 </w:t>
            </w:r>
            <w:r>
              <w:rPr>
                <w:rFonts w:cstheme="minorHAnsi"/>
                <w:b/>
              </w:rPr>
              <w:t>to nie</w:t>
            </w:r>
            <w:r w:rsidRPr="00957D8C">
              <w:rPr>
                <w:rFonts w:cstheme="minorHAnsi"/>
                <w:b/>
              </w:rPr>
              <w:t xml:space="preserve"> zostały one ujęte w ustawie budżetowej na 2026 r.</w:t>
            </w:r>
            <w:r>
              <w:rPr>
                <w:rFonts w:cstheme="minorHAnsi"/>
                <w:b/>
              </w:rPr>
              <w:t xml:space="preserve">, ze względu na etap legislacyjny UC95 – dopiero przyjęcie ustawy pozwoli na wystąpienie o dodatkowe etaty i środki finansowe na sfinansowanie tych etatów. </w:t>
            </w:r>
          </w:p>
        </w:tc>
        <w:tc>
          <w:tcPr>
            <w:tcW w:w="3686" w:type="dxa"/>
          </w:tcPr>
          <w:p w14:paraId="2DC00DEB" w14:textId="77777777" w:rsidR="0075728B" w:rsidRDefault="00D76FE7" w:rsidP="0042202B">
            <w:pPr>
              <w:rPr>
                <w:rFonts w:cstheme="minorHAnsi"/>
                <w:b/>
                <w:strike/>
              </w:rPr>
            </w:pPr>
            <w:r w:rsidRPr="00CD2E8F">
              <w:rPr>
                <w:rFonts w:cstheme="minorHAnsi"/>
                <w:b/>
                <w:strike/>
              </w:rPr>
              <w:t xml:space="preserve">Podtrzymanie przedstawionego stanowiska. </w:t>
            </w:r>
          </w:p>
          <w:p w14:paraId="06B38873" w14:textId="77777777" w:rsidR="00CD2E8F" w:rsidRDefault="00CD2E8F" w:rsidP="0042202B">
            <w:pPr>
              <w:rPr>
                <w:rFonts w:cstheme="minorHAnsi"/>
                <w:b/>
                <w:strike/>
              </w:rPr>
            </w:pPr>
          </w:p>
          <w:p w14:paraId="1DAF05BD" w14:textId="1BC03897" w:rsidR="00CD2E8F" w:rsidRPr="00CD2E8F" w:rsidRDefault="00CD2E8F" w:rsidP="0042202B">
            <w:pPr>
              <w:rPr>
                <w:rFonts w:cstheme="minorHAnsi"/>
                <w:b/>
              </w:rPr>
            </w:pPr>
            <w:r w:rsidRPr="00CD2E8F">
              <w:rPr>
                <w:rFonts w:cstheme="minorHAnsi"/>
                <w:b/>
                <w:color w:val="0070C0"/>
              </w:rPr>
              <w:t xml:space="preserve">Analogicznie jak uwaga nr 110. </w:t>
            </w:r>
          </w:p>
        </w:tc>
      </w:tr>
      <w:tr w:rsidR="0075728B" w:rsidRPr="00F515D6" w14:paraId="2F77A28D" w14:textId="5E7BE778" w:rsidTr="00D76FE7">
        <w:tc>
          <w:tcPr>
            <w:tcW w:w="562" w:type="dxa"/>
          </w:tcPr>
          <w:p w14:paraId="019206C8" w14:textId="77777777" w:rsidR="0075728B" w:rsidRPr="00FD08C2" w:rsidRDefault="0075728B" w:rsidP="0042202B">
            <w:pPr>
              <w:rPr>
                <w:rFonts w:cstheme="minorHAnsi"/>
                <w:b/>
              </w:rPr>
            </w:pPr>
            <w:r w:rsidRPr="00FD08C2">
              <w:rPr>
                <w:rFonts w:cstheme="minorHAnsi"/>
                <w:b/>
              </w:rPr>
              <w:t>113</w:t>
            </w:r>
          </w:p>
        </w:tc>
        <w:tc>
          <w:tcPr>
            <w:tcW w:w="993" w:type="dxa"/>
          </w:tcPr>
          <w:p w14:paraId="5A1AC6E0" w14:textId="77777777" w:rsidR="0075728B" w:rsidRPr="00FD08C2" w:rsidRDefault="0075728B" w:rsidP="0042202B">
            <w:pPr>
              <w:rPr>
                <w:rFonts w:cstheme="minorHAnsi"/>
                <w:b/>
              </w:rPr>
            </w:pPr>
            <w:r w:rsidRPr="00FD08C2">
              <w:rPr>
                <w:rFonts w:cstheme="minorHAnsi"/>
                <w:b/>
              </w:rPr>
              <w:t>MFiG</w:t>
            </w:r>
          </w:p>
        </w:tc>
        <w:tc>
          <w:tcPr>
            <w:tcW w:w="1701" w:type="dxa"/>
          </w:tcPr>
          <w:p w14:paraId="504C5D43" w14:textId="77777777" w:rsidR="0075728B" w:rsidRPr="00FD08C2" w:rsidRDefault="0075728B" w:rsidP="0042202B">
            <w:pPr>
              <w:rPr>
                <w:rFonts w:cstheme="minorHAnsi"/>
                <w:b/>
              </w:rPr>
            </w:pPr>
            <w:r w:rsidRPr="00FD08C2">
              <w:rPr>
                <w:rFonts w:cstheme="minorHAnsi"/>
                <w:b/>
              </w:rPr>
              <w:t>Pkt 4 OSR</w:t>
            </w:r>
          </w:p>
        </w:tc>
        <w:tc>
          <w:tcPr>
            <w:tcW w:w="5953" w:type="dxa"/>
          </w:tcPr>
          <w:p w14:paraId="273F565E" w14:textId="1BE144F1" w:rsidR="0075728B" w:rsidRPr="00FD08C2" w:rsidRDefault="0075728B" w:rsidP="0042202B">
            <w:pPr>
              <w:autoSpaceDE w:val="0"/>
              <w:autoSpaceDN w:val="0"/>
              <w:adjustRightInd w:val="0"/>
              <w:rPr>
                <w:rFonts w:cstheme="minorHAnsi"/>
                <w:b/>
              </w:rPr>
            </w:pPr>
            <w:r w:rsidRPr="00FD08C2">
              <w:rPr>
                <w:rFonts w:cstheme="minorHAnsi"/>
                <w:b/>
              </w:rPr>
              <w:t xml:space="preserve">W pkt 4 OSR  </w:t>
            </w:r>
            <w:r w:rsidRPr="00FD08C2">
              <w:rPr>
                <w:rFonts w:cstheme="minorHAnsi"/>
                <w:b/>
                <w:i/>
                <w:iCs/>
              </w:rPr>
              <w:t xml:space="preserve">Podmioty, na które oddziałuje </w:t>
            </w:r>
            <w:r w:rsidRPr="00FD08C2">
              <w:rPr>
                <w:rFonts w:cstheme="minorHAnsi"/>
                <w:b/>
              </w:rPr>
              <w:t>projekt w części oddziaływania na jednostki samorządu terytorialnego</w:t>
            </w:r>
            <w:r w:rsidRPr="00FD08C2">
              <w:rPr>
                <w:rFonts w:cstheme="minorHAnsi"/>
                <w:b/>
                <w:i/>
                <w:iCs/>
              </w:rPr>
              <w:t xml:space="preserve"> </w:t>
            </w:r>
            <w:r w:rsidRPr="00FD08C2">
              <w:rPr>
                <w:rFonts w:cstheme="minorHAnsi"/>
                <w:b/>
              </w:rPr>
              <w:t xml:space="preserve">projektodawca pominął kwestie zawarte w projektowanym art. 1 pkt 4 lit d ww. projektu (dodający ust. 4 w art. 3 ustawy o s.h.p.) zgodnie, z którym organy administracji rządowej </w:t>
            </w:r>
            <w:r w:rsidRPr="00FD08C2">
              <w:rPr>
                <w:rFonts w:cstheme="minorHAnsi"/>
                <w:b/>
              </w:rPr>
              <w:br/>
              <w:t>i samorządowej, państwowe osoby prawne oraz państwowe i samorządowe jednostki organizacyjne są obowiązane współdziałać z Dyrektorem TDT, nieodpłatnie udostępniać Dyrektorowi TDT informacje w sprawach indywidualnych oraz udzielać mu pomocy, w tym pomocy technicznej przy wykonywaniu zadań wynikających z ustawy. W OSR projektodawca powinien wymienić jednostki samorządu terytorialnego, na które oddziałuje projekt oraz odnieść się do kwestii wpływu projektowanych rozwiązań na budżety jednostek samorządu terytorialnego, w tym na wydatki tych jednostek.</w:t>
            </w:r>
          </w:p>
        </w:tc>
        <w:tc>
          <w:tcPr>
            <w:tcW w:w="3827" w:type="dxa"/>
          </w:tcPr>
          <w:p w14:paraId="260D8524" w14:textId="3437CF92" w:rsidR="0075728B" w:rsidRPr="00FD08C2" w:rsidRDefault="0075728B" w:rsidP="0042202B">
            <w:pPr>
              <w:rPr>
                <w:rFonts w:cstheme="minorHAnsi"/>
                <w:b/>
              </w:rPr>
            </w:pPr>
            <w:r>
              <w:rPr>
                <w:rFonts w:cstheme="minorHAnsi"/>
                <w:b/>
              </w:rPr>
              <w:t>Uwaga wyjaśniona - z</w:t>
            </w:r>
            <w:r w:rsidRPr="00FD08C2">
              <w:rPr>
                <w:rFonts w:cstheme="minorHAnsi"/>
                <w:b/>
              </w:rPr>
              <w:t>miana brzmienia art. 3 ust. 4 UH zgodnie z uwagą MS:</w:t>
            </w:r>
          </w:p>
          <w:p w14:paraId="6FB983ED" w14:textId="3C742C4E" w:rsidR="0075728B" w:rsidRPr="00FD08C2" w:rsidRDefault="0075728B" w:rsidP="0042202B">
            <w:pPr>
              <w:pStyle w:val="ZLITUSTzmustliter"/>
              <w:spacing w:line="240" w:lineRule="auto"/>
              <w:ind w:left="0" w:firstLine="0"/>
              <w:jc w:val="left"/>
              <w:rPr>
                <w:rFonts w:asciiTheme="minorHAnsi" w:eastAsiaTheme="minorHAnsi" w:hAnsiTheme="minorHAnsi" w:cstheme="minorHAnsi"/>
                <w:b/>
                <w:bCs w:val="0"/>
                <w:i/>
                <w:sz w:val="22"/>
                <w:szCs w:val="22"/>
                <w:lang w:eastAsia="en-US"/>
              </w:rPr>
            </w:pPr>
            <w:r w:rsidRPr="00FD08C2">
              <w:rPr>
                <w:b/>
                <w:i/>
              </w:rPr>
              <w:t>„</w:t>
            </w:r>
            <w:r w:rsidRPr="00FD08C2">
              <w:rPr>
                <w:rFonts w:asciiTheme="minorHAnsi" w:eastAsiaTheme="minorHAnsi" w:hAnsiTheme="minorHAnsi" w:cstheme="minorHAnsi"/>
                <w:b/>
                <w:bCs w:val="0"/>
                <w:i/>
                <w:sz w:val="22"/>
                <w:szCs w:val="22"/>
                <w:lang w:eastAsia="en-US"/>
              </w:rPr>
              <w:t>4. Organy administracji rządowej i samorządowej, państwowe osoby prawne oraz państwowe i samorządowe jednostki organizacyjne są obowiązane współdziałać z Dyrektorem TDT wyłącznie w zakresie swojej właściwości, nieodpłatnie udostępniać Dyrektorowi TDT informacje w sprawach indywidualnych oraz udzielać mu pomocy, w tym pomocy technicznej przy wykonywaniu jego zadań wynikających z ustawy, z uwzględnieniem realnych możliwości organizacyjnych i finansowych tych podmiotów.”</w:t>
            </w:r>
          </w:p>
          <w:p w14:paraId="75CFD1F6" w14:textId="4D6174FC" w:rsidR="0075728B" w:rsidRDefault="0075728B" w:rsidP="0042202B">
            <w:pPr>
              <w:rPr>
                <w:rFonts w:cstheme="minorHAnsi"/>
                <w:b/>
              </w:rPr>
            </w:pPr>
            <w:r>
              <w:rPr>
                <w:rFonts w:cstheme="minorHAnsi"/>
                <w:b/>
              </w:rPr>
              <w:t xml:space="preserve">Należy zauważyć, iż co do zasady Dyrektor TDT będzie realizował swoje zadania (np. w przypadku zgłoszeń z rynku o niezgodności pojazdu albo konieczności przeprowadzenia akcji serwisowej) na podstawie danych o pojeździe zawartych w CEP, dopiero w momencie braku tych danych w ewidencji, może zaistnieć potrzeba wyjaśnienia sprawy z organem, który dokonał rejestracji tego pojazdu i wprowadzał informacje o pojeździe do CEP na podstawie przedłożonej dokumentacji w ramach wniosku o rejestrację. Zatem nie powinno to wpływać w znaczącym stopniu na zwiększenie obciążenia tych organów, a tym samym na obciążenie ich budżetu. Obecnie już Dyrektor TDT w ramach swoim kompetencji jako organ nadzoru rynku kontaktuje się z organami rejestrującymi w opisanych powyżej sprawach. </w:t>
            </w:r>
          </w:p>
          <w:p w14:paraId="43E125E5" w14:textId="49A67350" w:rsidR="0075728B" w:rsidRPr="00FD08C2" w:rsidRDefault="0075728B" w:rsidP="0042202B">
            <w:pPr>
              <w:rPr>
                <w:rFonts w:cstheme="minorHAnsi"/>
                <w:b/>
              </w:rPr>
            </w:pPr>
            <w:r>
              <w:rPr>
                <w:rFonts w:cstheme="minorHAnsi"/>
                <w:b/>
              </w:rPr>
              <w:t xml:space="preserve">Należy wspomnieć, że organy rejestrujące również występują z zapytaniami do Dyrektora TDT celem weryfikacji dokumentów przedstawionych do rejestracji czy też pozyskania innych informacji niezbędnych w ramach prowadzonych przez nich postępowań administracyjnych związanych z rejestracją pojazdu – w tym zakresie uzupełniono pkt 4 OSR. </w:t>
            </w:r>
          </w:p>
        </w:tc>
        <w:tc>
          <w:tcPr>
            <w:tcW w:w="3686" w:type="dxa"/>
          </w:tcPr>
          <w:p w14:paraId="526BCF31" w14:textId="7961B039" w:rsidR="0075728B" w:rsidRDefault="0075728B" w:rsidP="0042202B">
            <w:pPr>
              <w:rPr>
                <w:rFonts w:cstheme="minorHAnsi"/>
                <w:b/>
              </w:rPr>
            </w:pPr>
            <w:r>
              <w:rPr>
                <w:rFonts w:cstheme="minorHAnsi"/>
                <w:b/>
              </w:rPr>
              <w:t xml:space="preserve">Akceptacja </w:t>
            </w:r>
          </w:p>
        </w:tc>
      </w:tr>
      <w:tr w:rsidR="0075728B" w:rsidRPr="00F515D6" w14:paraId="2FC37C5B" w14:textId="0CF87A86" w:rsidTr="00D76FE7">
        <w:tc>
          <w:tcPr>
            <w:tcW w:w="562" w:type="dxa"/>
          </w:tcPr>
          <w:p w14:paraId="1BA3C554" w14:textId="77777777" w:rsidR="0075728B" w:rsidRPr="0081420B" w:rsidRDefault="0075728B" w:rsidP="0042202B">
            <w:pPr>
              <w:rPr>
                <w:rFonts w:cstheme="minorHAnsi"/>
                <w:b/>
              </w:rPr>
            </w:pPr>
            <w:r w:rsidRPr="0081420B">
              <w:rPr>
                <w:rFonts w:cstheme="minorHAnsi"/>
                <w:b/>
              </w:rPr>
              <w:t>114</w:t>
            </w:r>
          </w:p>
        </w:tc>
        <w:tc>
          <w:tcPr>
            <w:tcW w:w="993" w:type="dxa"/>
          </w:tcPr>
          <w:p w14:paraId="74D5F3A4" w14:textId="77777777" w:rsidR="0075728B" w:rsidRPr="0081420B" w:rsidRDefault="0075728B" w:rsidP="0042202B">
            <w:pPr>
              <w:rPr>
                <w:rFonts w:cstheme="minorHAnsi"/>
                <w:b/>
              </w:rPr>
            </w:pPr>
            <w:r w:rsidRPr="0081420B">
              <w:rPr>
                <w:rFonts w:cstheme="minorHAnsi"/>
                <w:b/>
              </w:rPr>
              <w:t>MFiG</w:t>
            </w:r>
          </w:p>
        </w:tc>
        <w:tc>
          <w:tcPr>
            <w:tcW w:w="1701" w:type="dxa"/>
          </w:tcPr>
          <w:p w14:paraId="4EF0C966" w14:textId="77777777" w:rsidR="0075728B" w:rsidRPr="0081420B" w:rsidRDefault="0075728B" w:rsidP="0042202B">
            <w:pPr>
              <w:rPr>
                <w:rFonts w:cstheme="minorHAnsi"/>
                <w:b/>
              </w:rPr>
            </w:pPr>
            <w:r w:rsidRPr="0081420B">
              <w:rPr>
                <w:rFonts w:cstheme="minorHAnsi"/>
                <w:b/>
              </w:rPr>
              <w:t>Pkt 4 OSR</w:t>
            </w:r>
          </w:p>
        </w:tc>
        <w:tc>
          <w:tcPr>
            <w:tcW w:w="5953" w:type="dxa"/>
          </w:tcPr>
          <w:p w14:paraId="6CE7A388" w14:textId="77777777" w:rsidR="0075728B" w:rsidRPr="0081420B" w:rsidRDefault="0075728B" w:rsidP="0042202B">
            <w:pPr>
              <w:autoSpaceDE w:val="0"/>
              <w:autoSpaceDN w:val="0"/>
              <w:adjustRightInd w:val="0"/>
              <w:rPr>
                <w:rFonts w:cstheme="minorHAnsi"/>
                <w:b/>
              </w:rPr>
            </w:pPr>
            <w:r w:rsidRPr="0081420B">
              <w:rPr>
                <w:rFonts w:cstheme="minorHAnsi"/>
                <w:b/>
              </w:rPr>
              <w:t>W pkt 4 OSR należy usunąć wymienione urzędy skarbowe z uwagi na to, że projekt nie przewiduje ich zaangażowania we współpracę z Dyrektorem TDT w zakresie kontroli produktów.</w:t>
            </w:r>
          </w:p>
          <w:p w14:paraId="066B1A69" w14:textId="0221FCB0" w:rsidR="0075728B" w:rsidRPr="0081420B" w:rsidRDefault="0075728B" w:rsidP="0042202B">
            <w:pPr>
              <w:autoSpaceDE w:val="0"/>
              <w:autoSpaceDN w:val="0"/>
              <w:adjustRightInd w:val="0"/>
              <w:rPr>
                <w:rFonts w:cstheme="minorHAnsi"/>
                <w:b/>
              </w:rPr>
            </w:pPr>
          </w:p>
        </w:tc>
        <w:tc>
          <w:tcPr>
            <w:tcW w:w="3827" w:type="dxa"/>
          </w:tcPr>
          <w:p w14:paraId="55E0E524" w14:textId="120D8D75" w:rsidR="0075728B" w:rsidRPr="0081420B" w:rsidRDefault="0075728B" w:rsidP="0042202B">
            <w:pPr>
              <w:rPr>
                <w:rFonts w:cstheme="minorHAnsi"/>
                <w:b/>
              </w:rPr>
            </w:pPr>
            <w:r w:rsidRPr="0081420B">
              <w:rPr>
                <w:rFonts w:cstheme="minorHAnsi"/>
                <w:b/>
              </w:rPr>
              <w:t xml:space="preserve">Uwaga uwzględniona – dokonano korekty OSR poprzez uzupełnienie pkt 4 o przewidziane w UC95 postępowania egzekucyjne w administracji, gdzie organem egzekucyjnym jest Naczelnik Urzędu Skarbowego, zatem w tym zakresie projekt będzie oddziaływał na urzędu skarbowe. </w:t>
            </w:r>
          </w:p>
        </w:tc>
        <w:tc>
          <w:tcPr>
            <w:tcW w:w="3686" w:type="dxa"/>
          </w:tcPr>
          <w:p w14:paraId="5EE096FB" w14:textId="77777777" w:rsidR="0075728B" w:rsidRDefault="0075728B" w:rsidP="0042202B">
            <w:pPr>
              <w:rPr>
                <w:rFonts w:cstheme="minorHAnsi"/>
                <w:b/>
              </w:rPr>
            </w:pPr>
            <w:r>
              <w:rPr>
                <w:rFonts w:cstheme="minorHAnsi"/>
                <w:b/>
              </w:rPr>
              <w:t xml:space="preserve">Akceptacja </w:t>
            </w:r>
          </w:p>
          <w:p w14:paraId="3381137D" w14:textId="34E0D638" w:rsidR="00657F53" w:rsidRPr="0081420B" w:rsidRDefault="00657F53" w:rsidP="0042202B">
            <w:pPr>
              <w:rPr>
                <w:rFonts w:cstheme="minorHAnsi"/>
                <w:b/>
              </w:rPr>
            </w:pPr>
          </w:p>
        </w:tc>
      </w:tr>
      <w:tr w:rsidR="0075728B" w:rsidRPr="00F515D6" w14:paraId="3A1783AF" w14:textId="79D56DB6" w:rsidTr="00D76FE7">
        <w:tc>
          <w:tcPr>
            <w:tcW w:w="562" w:type="dxa"/>
            <w:vMerge w:val="restart"/>
          </w:tcPr>
          <w:p w14:paraId="79868692" w14:textId="0A21EED4" w:rsidR="0075728B" w:rsidRPr="0081420B" w:rsidRDefault="0075728B" w:rsidP="0042202B">
            <w:pPr>
              <w:rPr>
                <w:rFonts w:cstheme="minorHAnsi"/>
                <w:b/>
              </w:rPr>
            </w:pPr>
            <w:r w:rsidRPr="0053181E">
              <w:rPr>
                <w:rFonts w:cstheme="minorHAnsi"/>
                <w:b/>
                <w:highlight w:val="yellow"/>
              </w:rPr>
              <w:t>115-121</w:t>
            </w:r>
          </w:p>
        </w:tc>
        <w:tc>
          <w:tcPr>
            <w:tcW w:w="993" w:type="dxa"/>
            <w:vMerge w:val="restart"/>
          </w:tcPr>
          <w:p w14:paraId="38E5953D" w14:textId="77777777" w:rsidR="0075728B" w:rsidRPr="0081420B" w:rsidRDefault="0075728B" w:rsidP="0042202B">
            <w:pPr>
              <w:rPr>
                <w:rFonts w:cstheme="minorHAnsi"/>
                <w:b/>
              </w:rPr>
            </w:pPr>
            <w:r w:rsidRPr="0081420B">
              <w:rPr>
                <w:rFonts w:cstheme="minorHAnsi"/>
                <w:b/>
              </w:rPr>
              <w:t>KOSR</w:t>
            </w:r>
          </w:p>
        </w:tc>
        <w:tc>
          <w:tcPr>
            <w:tcW w:w="1701" w:type="dxa"/>
          </w:tcPr>
          <w:p w14:paraId="5A9B04EC" w14:textId="77777777" w:rsidR="0075728B" w:rsidRPr="0081420B" w:rsidRDefault="0075728B" w:rsidP="0042202B">
            <w:pPr>
              <w:rPr>
                <w:rFonts w:cstheme="minorHAnsi"/>
                <w:b/>
              </w:rPr>
            </w:pPr>
            <w:r w:rsidRPr="0081420B">
              <w:rPr>
                <w:rFonts w:cstheme="minorHAnsi"/>
                <w:b/>
              </w:rPr>
              <w:t>Art. 68zk UH</w:t>
            </w:r>
          </w:p>
        </w:tc>
        <w:tc>
          <w:tcPr>
            <w:tcW w:w="5953" w:type="dxa"/>
          </w:tcPr>
          <w:p w14:paraId="0818C1AE" w14:textId="77777777" w:rsidR="0075728B" w:rsidRPr="0081420B" w:rsidRDefault="0075728B" w:rsidP="0042202B">
            <w:pPr>
              <w:autoSpaceDE w:val="0"/>
              <w:autoSpaceDN w:val="0"/>
              <w:adjustRightInd w:val="0"/>
              <w:rPr>
                <w:rFonts w:cstheme="minorHAnsi"/>
                <w:b/>
              </w:rPr>
            </w:pPr>
            <w:r w:rsidRPr="0081420B">
              <w:rPr>
                <w:rFonts w:cstheme="minorHAnsi"/>
                <w:b/>
              </w:rPr>
              <w:t>Stawki opłat za nadzór Dyrektora TDT nad rynkiem motoryzacyjnym wymagają:</w:t>
            </w:r>
          </w:p>
          <w:p w14:paraId="5FCCD949" w14:textId="2E6153EA" w:rsidR="0075728B" w:rsidRPr="0081420B" w:rsidRDefault="0075728B" w:rsidP="0042202B">
            <w:pPr>
              <w:autoSpaceDE w:val="0"/>
              <w:autoSpaceDN w:val="0"/>
              <w:adjustRightInd w:val="0"/>
              <w:rPr>
                <w:rFonts w:cstheme="minorHAnsi"/>
                <w:b/>
              </w:rPr>
            </w:pPr>
            <w:r w:rsidRPr="0081420B">
              <w:rPr>
                <w:rFonts w:cstheme="minorHAnsi"/>
                <w:b/>
              </w:rPr>
              <w:t>a. uzasadnienia wysokości ich ustalenia (w jaki sposób metodologicznie wyznaczono ich poziom). Z danych przedstawionych w OSR wynika, że Dyrektor TDT ma, w wyniku planowanej regulacji, regularnie wykazywać nadwyżkę</w:t>
            </w:r>
          </w:p>
          <w:p w14:paraId="58F3D97E" w14:textId="4844F78D" w:rsidR="0075728B" w:rsidRPr="0081420B" w:rsidRDefault="0075728B" w:rsidP="0042202B">
            <w:pPr>
              <w:autoSpaceDE w:val="0"/>
              <w:autoSpaceDN w:val="0"/>
              <w:adjustRightInd w:val="0"/>
              <w:rPr>
                <w:rFonts w:cstheme="minorHAnsi"/>
                <w:b/>
              </w:rPr>
            </w:pPr>
            <w:r w:rsidRPr="0081420B">
              <w:rPr>
                <w:rFonts w:cstheme="minorHAnsi"/>
                <w:b/>
              </w:rPr>
              <w:t>przychodów nad kosztami. Zasadne jest takie ukształtowanie opłat, aby pokrywały one koszty TDT (nie generowały dodatkowych przychodów);</w:t>
            </w:r>
          </w:p>
          <w:p w14:paraId="7478E1C7" w14:textId="2A2AB855" w:rsidR="0075728B" w:rsidRPr="0081420B" w:rsidRDefault="0075728B" w:rsidP="0042202B">
            <w:pPr>
              <w:autoSpaceDE w:val="0"/>
              <w:autoSpaceDN w:val="0"/>
              <w:adjustRightInd w:val="0"/>
              <w:rPr>
                <w:rFonts w:cstheme="minorHAnsi"/>
                <w:b/>
              </w:rPr>
            </w:pPr>
            <w:r w:rsidRPr="0081420B">
              <w:rPr>
                <w:rFonts w:cstheme="minorHAnsi"/>
                <w:b/>
              </w:rPr>
              <w:t>b. wskazania, jakie opłaty będą ponoszone za nadzór Dyrektora TDT nad hulajnogami pod kątem spełniania warunków technicznych.</w:t>
            </w:r>
          </w:p>
          <w:p w14:paraId="5C7A823B" w14:textId="77777777" w:rsidR="0075728B" w:rsidRPr="0081420B" w:rsidRDefault="0075728B" w:rsidP="0042202B">
            <w:pPr>
              <w:rPr>
                <w:rFonts w:cstheme="minorHAnsi"/>
                <w:b/>
              </w:rPr>
            </w:pPr>
          </w:p>
        </w:tc>
        <w:tc>
          <w:tcPr>
            <w:tcW w:w="3827" w:type="dxa"/>
          </w:tcPr>
          <w:p w14:paraId="7DBFD572" w14:textId="77777777" w:rsidR="0075728B" w:rsidRPr="0081420B" w:rsidRDefault="0075728B" w:rsidP="0042202B">
            <w:pPr>
              <w:rPr>
                <w:rFonts w:cstheme="minorHAnsi"/>
                <w:b/>
              </w:rPr>
            </w:pPr>
            <w:r w:rsidRPr="0081420B">
              <w:rPr>
                <w:rFonts w:cstheme="minorHAnsi"/>
                <w:b/>
              </w:rPr>
              <w:t>Uwaga uwzględniona</w:t>
            </w:r>
          </w:p>
          <w:p w14:paraId="1D8A7511" w14:textId="0F5B8E70" w:rsidR="0075728B" w:rsidRPr="0081420B" w:rsidRDefault="0075728B" w:rsidP="0042202B">
            <w:pPr>
              <w:tabs>
                <w:tab w:val="left" w:pos="710"/>
              </w:tabs>
              <w:rPr>
                <w:rFonts w:cstheme="minorHAnsi"/>
                <w:b/>
              </w:rPr>
            </w:pPr>
            <w:r w:rsidRPr="0081420B">
              <w:rPr>
                <w:rFonts w:cstheme="minorHAnsi"/>
                <w:b/>
              </w:rPr>
              <w:t xml:space="preserve">a. </w:t>
            </w:r>
            <w:r w:rsidRPr="00A37B7E">
              <w:rPr>
                <w:rFonts w:cstheme="minorHAnsi"/>
                <w:b/>
              </w:rPr>
              <w:t xml:space="preserve">mając na uwadze uwagi zgłoszone w toku uzgodnień i konsultacji, po analizie kosztów po stronie TDT realizacji zadań, uwzględniono postulaty i dokonano </w:t>
            </w:r>
            <w:r w:rsidRPr="00C312EF">
              <w:rPr>
                <w:rFonts w:cstheme="minorHAnsi"/>
                <w:b/>
              </w:rPr>
              <w:t>zmniejszenia wysokości pobieranej opłaty w ramach nadzoru rynku (z 0,2% na 0,05%) w ramach optymalizacji kosztów i jednocześnie</w:t>
            </w:r>
            <w:r w:rsidRPr="00A37B7E">
              <w:rPr>
                <w:rFonts w:cstheme="minorHAnsi"/>
                <w:b/>
              </w:rPr>
              <w:t xml:space="preserve"> zapewnienia prawidłowego działania TDT</w:t>
            </w:r>
            <w:r>
              <w:rPr>
                <w:rFonts w:cstheme="minorHAnsi"/>
                <w:b/>
              </w:rPr>
              <w:t xml:space="preserve"> – stosowne zmiany w tym zakresie ujęto w OSR, w tym dokonano zmniejszenia zatrudnienia TDT w obszarze nadzoru rynku. </w:t>
            </w:r>
          </w:p>
          <w:p w14:paraId="736B7BFC" w14:textId="173E14CE" w:rsidR="0075728B" w:rsidRDefault="0075728B" w:rsidP="0042202B">
            <w:pPr>
              <w:rPr>
                <w:rFonts w:cstheme="minorHAnsi"/>
                <w:b/>
              </w:rPr>
            </w:pPr>
            <w:r w:rsidRPr="0081420B">
              <w:rPr>
                <w:rFonts w:cstheme="minorHAnsi"/>
                <w:b/>
              </w:rPr>
              <w:t>b. hulajnogi elektryczne będą wyłączone z opłaty – wprowadzono zmiany w tym zakresie w UC95</w:t>
            </w:r>
            <w:r>
              <w:rPr>
                <w:rFonts w:cstheme="minorHAnsi"/>
                <w:b/>
              </w:rPr>
              <w:t xml:space="preserve"> – art. 68zn:</w:t>
            </w:r>
          </w:p>
          <w:p w14:paraId="62E303D9" w14:textId="43B0DD0E" w:rsidR="0075728B" w:rsidRPr="002752C6" w:rsidRDefault="0075728B" w:rsidP="0042202B">
            <w:pPr>
              <w:autoSpaceDE w:val="0"/>
              <w:autoSpaceDN w:val="0"/>
              <w:adjustRightInd w:val="0"/>
              <w:rPr>
                <w:rFonts w:cstheme="minorHAnsi"/>
                <w:b/>
                <w:i/>
              </w:rPr>
            </w:pPr>
            <w:r w:rsidRPr="00025977">
              <w:rPr>
                <w:rFonts w:cstheme="minorHAnsi"/>
                <w:b/>
                <w:i/>
              </w:rPr>
              <w:t>„Art. 68zn. Przepisy art. 53a, art. 53b, art. 53d oraz przepisy niniejszego rozdziału, z wyłączeniem art. 68zk, stosuje się odpowiednio do zadań Dyrektora TDT jako organu nadzoru rynku realizowanych w odniesieniu do rowerów i wózków rowerowych, hulajnóg elektrycznych oraz urządzeń transportu osobistego, a także do obowiązków podmiotów gospodarczych, które te rowery i wózki rowerowe, hulajnogi elektryczne oraz urządzenia transportu osobistego wprowadzają do obrotu na terytorium Rzeczypospolitej Polskiej.”</w:t>
            </w:r>
          </w:p>
        </w:tc>
        <w:tc>
          <w:tcPr>
            <w:tcW w:w="3686" w:type="dxa"/>
          </w:tcPr>
          <w:p w14:paraId="74872AD9" w14:textId="77777777" w:rsidR="0075728B" w:rsidRDefault="00657F53" w:rsidP="0042202B">
            <w:pPr>
              <w:rPr>
                <w:rFonts w:cstheme="minorHAnsi"/>
                <w:b/>
              </w:rPr>
            </w:pPr>
            <w:r>
              <w:rPr>
                <w:rFonts w:cstheme="minorHAnsi"/>
                <w:b/>
              </w:rPr>
              <w:t>Brak udziału przedstawicieli – konieczne spotkanie z KOSR</w:t>
            </w:r>
            <w:r w:rsidR="003B50B0">
              <w:rPr>
                <w:rFonts w:cstheme="minorHAnsi"/>
                <w:b/>
              </w:rPr>
              <w:t>.</w:t>
            </w:r>
          </w:p>
          <w:p w14:paraId="62590410" w14:textId="0B3FA945" w:rsidR="003B50B0" w:rsidRDefault="003B50B0" w:rsidP="0042202B">
            <w:pPr>
              <w:rPr>
                <w:rFonts w:cstheme="minorHAnsi"/>
                <w:b/>
              </w:rPr>
            </w:pPr>
          </w:p>
          <w:p w14:paraId="244D6C2C" w14:textId="7A297A6D" w:rsidR="003B50B0" w:rsidRPr="003B50B0" w:rsidRDefault="003B50B0" w:rsidP="0042202B">
            <w:pPr>
              <w:rPr>
                <w:rFonts w:cstheme="minorHAnsi"/>
                <w:b/>
                <w:color w:val="0070C0"/>
              </w:rPr>
            </w:pPr>
            <w:r w:rsidRPr="003B50B0">
              <w:rPr>
                <w:rFonts w:cstheme="minorHAnsi"/>
                <w:b/>
                <w:color w:val="0070C0"/>
              </w:rPr>
              <w:t>Nowa numeracja</w:t>
            </w:r>
            <w:r>
              <w:rPr>
                <w:rFonts w:cstheme="minorHAnsi"/>
                <w:b/>
                <w:color w:val="0070C0"/>
              </w:rPr>
              <w:t xml:space="preserve"> UC95</w:t>
            </w:r>
            <w:r w:rsidRPr="003B50B0">
              <w:rPr>
                <w:rFonts w:cstheme="minorHAnsi"/>
                <w:b/>
                <w:color w:val="0070C0"/>
              </w:rPr>
              <w:t>:</w:t>
            </w:r>
          </w:p>
          <w:p w14:paraId="039AAB74" w14:textId="2FC543F2" w:rsidR="003B50B0" w:rsidRPr="003B50B0" w:rsidRDefault="003B50B0" w:rsidP="0042202B">
            <w:pPr>
              <w:rPr>
                <w:rFonts w:cstheme="minorHAnsi"/>
                <w:b/>
                <w:color w:val="0070C0"/>
              </w:rPr>
            </w:pPr>
            <w:r w:rsidRPr="003B50B0">
              <w:rPr>
                <w:rFonts w:cstheme="minorHAnsi"/>
                <w:b/>
                <w:color w:val="0070C0"/>
              </w:rPr>
              <w:t>a.</w:t>
            </w:r>
            <w:r>
              <w:rPr>
                <w:rFonts w:cstheme="minorHAnsi"/>
                <w:b/>
                <w:color w:val="0070C0"/>
              </w:rPr>
              <w:t xml:space="preserve"> </w:t>
            </w:r>
            <w:r w:rsidRPr="003B50B0">
              <w:rPr>
                <w:rFonts w:cstheme="minorHAnsi"/>
                <w:b/>
                <w:color w:val="0070C0"/>
              </w:rPr>
              <w:t>art. 68zu</w:t>
            </w:r>
            <w:r>
              <w:rPr>
                <w:rFonts w:cstheme="minorHAnsi"/>
                <w:b/>
                <w:color w:val="0070C0"/>
              </w:rPr>
              <w:t xml:space="preserve"> ust. 4,</w:t>
            </w:r>
          </w:p>
          <w:p w14:paraId="2E8F669B" w14:textId="1F392239" w:rsidR="003B50B0" w:rsidRDefault="003B50B0" w:rsidP="0042202B">
            <w:pPr>
              <w:rPr>
                <w:rFonts w:cstheme="minorHAnsi"/>
                <w:b/>
                <w:color w:val="0070C0"/>
              </w:rPr>
            </w:pPr>
            <w:r w:rsidRPr="003B50B0">
              <w:rPr>
                <w:rFonts w:cstheme="minorHAnsi"/>
                <w:b/>
                <w:color w:val="0070C0"/>
              </w:rPr>
              <w:t xml:space="preserve">b. </w:t>
            </w:r>
            <w:r>
              <w:rPr>
                <w:rFonts w:cstheme="minorHAnsi"/>
                <w:b/>
                <w:color w:val="0070C0"/>
              </w:rPr>
              <w:t xml:space="preserve">art. 68zza. </w:t>
            </w:r>
          </w:p>
          <w:p w14:paraId="6DE29B54" w14:textId="296DCF51" w:rsidR="001E401D" w:rsidRDefault="001E401D" w:rsidP="0042202B">
            <w:pPr>
              <w:rPr>
                <w:rFonts w:cstheme="minorHAnsi"/>
                <w:b/>
                <w:color w:val="0070C0"/>
              </w:rPr>
            </w:pPr>
          </w:p>
          <w:p w14:paraId="1D50CBB8" w14:textId="4CD86509" w:rsidR="001E401D" w:rsidRPr="00104748" w:rsidRDefault="001E401D" w:rsidP="0042202B">
            <w:pPr>
              <w:rPr>
                <w:rFonts w:cstheme="minorHAnsi"/>
                <w:b/>
                <w:color w:val="0070C0"/>
                <w:u w:val="single"/>
              </w:rPr>
            </w:pPr>
            <w:r w:rsidRPr="00104748">
              <w:rPr>
                <w:rFonts w:cstheme="minorHAnsi"/>
                <w:b/>
                <w:color w:val="0070C0"/>
                <w:u w:val="single"/>
              </w:rPr>
              <w:t>W wyniku roboczego uzgadniania w OSR wprowadzono zmiany zgodnie z uwagami/zapytaniami KORS</w:t>
            </w:r>
            <w:r w:rsidR="00D150F0">
              <w:rPr>
                <w:rFonts w:cstheme="minorHAnsi"/>
                <w:b/>
                <w:color w:val="0070C0"/>
                <w:u w:val="single"/>
              </w:rPr>
              <w:t>.</w:t>
            </w:r>
          </w:p>
          <w:p w14:paraId="1C549211" w14:textId="77777777" w:rsidR="003B50B0" w:rsidRDefault="003B50B0" w:rsidP="0042202B">
            <w:pPr>
              <w:rPr>
                <w:rFonts w:cstheme="minorHAnsi"/>
                <w:b/>
              </w:rPr>
            </w:pPr>
          </w:p>
          <w:p w14:paraId="0BDECE04" w14:textId="370D8282" w:rsidR="006F5BB5" w:rsidRPr="0081420B" w:rsidRDefault="006F5BB5" w:rsidP="0042202B">
            <w:pPr>
              <w:rPr>
                <w:rFonts w:cstheme="minorHAnsi"/>
                <w:b/>
              </w:rPr>
            </w:pPr>
          </w:p>
        </w:tc>
      </w:tr>
      <w:tr w:rsidR="0075728B" w:rsidRPr="00F515D6" w14:paraId="58456576" w14:textId="7D921C55" w:rsidTr="00D76FE7">
        <w:tc>
          <w:tcPr>
            <w:tcW w:w="562" w:type="dxa"/>
            <w:vMerge/>
          </w:tcPr>
          <w:p w14:paraId="3323A0F9" w14:textId="77777777" w:rsidR="0075728B" w:rsidRPr="00F515D6" w:rsidRDefault="0075728B" w:rsidP="0042202B">
            <w:pPr>
              <w:rPr>
                <w:rFonts w:cstheme="minorHAnsi"/>
              </w:rPr>
            </w:pPr>
          </w:p>
        </w:tc>
        <w:tc>
          <w:tcPr>
            <w:tcW w:w="993" w:type="dxa"/>
            <w:vMerge/>
          </w:tcPr>
          <w:p w14:paraId="78E34679" w14:textId="77777777" w:rsidR="0075728B" w:rsidRPr="00F515D6" w:rsidRDefault="0075728B" w:rsidP="0042202B">
            <w:pPr>
              <w:rPr>
                <w:rFonts w:cstheme="minorHAnsi"/>
              </w:rPr>
            </w:pPr>
          </w:p>
        </w:tc>
        <w:tc>
          <w:tcPr>
            <w:tcW w:w="1701" w:type="dxa"/>
          </w:tcPr>
          <w:p w14:paraId="42137DE1" w14:textId="4BABD8A2" w:rsidR="0075728B" w:rsidRPr="007A5B68" w:rsidRDefault="0075728B" w:rsidP="0042202B">
            <w:pPr>
              <w:rPr>
                <w:rFonts w:cstheme="minorHAnsi"/>
                <w:b/>
              </w:rPr>
            </w:pPr>
            <w:r w:rsidRPr="007A5B68">
              <w:rPr>
                <w:rFonts w:cstheme="minorHAnsi"/>
                <w:b/>
              </w:rPr>
              <w:t xml:space="preserve">Ogólne uwagi </w:t>
            </w:r>
          </w:p>
        </w:tc>
        <w:tc>
          <w:tcPr>
            <w:tcW w:w="5953" w:type="dxa"/>
          </w:tcPr>
          <w:p w14:paraId="00D0E633" w14:textId="77777777" w:rsidR="0075728B" w:rsidRPr="007A5B68" w:rsidRDefault="0075728B" w:rsidP="0042202B">
            <w:pPr>
              <w:autoSpaceDE w:val="0"/>
              <w:autoSpaceDN w:val="0"/>
              <w:adjustRightInd w:val="0"/>
              <w:rPr>
                <w:rFonts w:cs="Lato-Regular"/>
                <w:b/>
              </w:rPr>
            </w:pPr>
            <w:r w:rsidRPr="007A5B68">
              <w:rPr>
                <w:rFonts w:cs="Lato-Regular"/>
                <w:b/>
              </w:rPr>
              <w:t>Nowe etaty:</w:t>
            </w:r>
          </w:p>
          <w:p w14:paraId="70840CD1" w14:textId="093BC9AB" w:rsidR="0075728B" w:rsidRPr="007A5B68" w:rsidRDefault="0075728B" w:rsidP="0042202B">
            <w:pPr>
              <w:autoSpaceDE w:val="0"/>
              <w:autoSpaceDN w:val="0"/>
              <w:adjustRightInd w:val="0"/>
              <w:rPr>
                <w:rFonts w:cs="Lato-Regular"/>
                <w:b/>
              </w:rPr>
            </w:pPr>
            <w:r w:rsidRPr="007A5B68">
              <w:rPr>
                <w:rFonts w:cs="Lato-Regular"/>
                <w:b/>
              </w:rPr>
              <w:t>a. należy wykazać wpływy do bp i JST z tytułu nowego zatrudnienia (pod tabelą nie przedstawiono tych informacji);</w:t>
            </w:r>
          </w:p>
          <w:p w14:paraId="76E1B29C" w14:textId="2A8C5C63" w:rsidR="0075728B" w:rsidRPr="007A5B68" w:rsidRDefault="0075728B" w:rsidP="0042202B">
            <w:pPr>
              <w:autoSpaceDE w:val="0"/>
              <w:autoSpaceDN w:val="0"/>
              <w:adjustRightInd w:val="0"/>
              <w:rPr>
                <w:rFonts w:cs="Lato-Regular"/>
                <w:b/>
              </w:rPr>
            </w:pPr>
            <w:r w:rsidRPr="007A5B68">
              <w:rPr>
                <w:rFonts w:cs="Lato-Regular"/>
                <w:b/>
              </w:rPr>
              <w:t>b. należy przedstawić koszty nowego zatrudnienia w TDT w poszczególnych latach</w:t>
            </w:r>
            <w:r>
              <w:rPr>
                <w:rFonts w:cs="Lato-Regular"/>
                <w:b/>
              </w:rPr>
              <w:t xml:space="preserve"> </w:t>
            </w:r>
            <w:r w:rsidRPr="007A5B68">
              <w:rPr>
                <w:rFonts w:cs="Lato-Regular"/>
                <w:b/>
              </w:rPr>
              <w:t>(wskazano koszty dla 2026 r., tj. dla 14 osób, a docelowo mają być 124 osoby na różnych stanowiskach);</w:t>
            </w:r>
          </w:p>
          <w:p w14:paraId="3766C66B" w14:textId="1E36C8DB" w:rsidR="0075728B" w:rsidRPr="007A5B68" w:rsidRDefault="0075728B" w:rsidP="0042202B">
            <w:pPr>
              <w:autoSpaceDE w:val="0"/>
              <w:autoSpaceDN w:val="0"/>
              <w:adjustRightInd w:val="0"/>
              <w:rPr>
                <w:rFonts w:cs="Lato-Regular"/>
                <w:b/>
              </w:rPr>
            </w:pPr>
            <w:r w:rsidRPr="007A5B68">
              <w:rPr>
                <w:rFonts w:cs="Lato-Regular"/>
                <w:b/>
              </w:rPr>
              <w:t>c. z tytułu nowego zatrudnienia w MI, należy wykazać wpływy zwrotne do jednostek sektora finansów publicznych (z tytułu PIT do BP, JST, NFZ, ZUS, FP, FGŚP, PFRON, PPK – tak jak np. dla zatrudnienia dodatkowego w TDT).</w:t>
            </w:r>
          </w:p>
        </w:tc>
        <w:tc>
          <w:tcPr>
            <w:tcW w:w="3827" w:type="dxa"/>
          </w:tcPr>
          <w:p w14:paraId="7CD6D20E" w14:textId="08FC9F60" w:rsidR="0075728B" w:rsidRPr="00F515D6" w:rsidRDefault="0075728B" w:rsidP="0042202B">
            <w:pPr>
              <w:rPr>
                <w:rFonts w:cstheme="minorHAnsi"/>
              </w:rPr>
            </w:pPr>
            <w:r w:rsidRPr="00957D8C">
              <w:rPr>
                <w:rFonts w:cstheme="minorHAnsi"/>
                <w:b/>
              </w:rPr>
              <w:t xml:space="preserve">Wprowadzono </w:t>
            </w:r>
            <w:r>
              <w:rPr>
                <w:rFonts w:cstheme="minorHAnsi"/>
                <w:b/>
              </w:rPr>
              <w:t xml:space="preserve">stosowne </w:t>
            </w:r>
            <w:r w:rsidRPr="00957D8C">
              <w:rPr>
                <w:rFonts w:cstheme="minorHAnsi"/>
                <w:b/>
              </w:rPr>
              <w:t>zmiany w OSR.</w:t>
            </w:r>
          </w:p>
        </w:tc>
        <w:tc>
          <w:tcPr>
            <w:tcW w:w="3686" w:type="dxa"/>
          </w:tcPr>
          <w:p w14:paraId="6955E183" w14:textId="77777777" w:rsidR="0075728B" w:rsidRPr="00957D8C" w:rsidRDefault="0075728B" w:rsidP="0042202B">
            <w:pPr>
              <w:rPr>
                <w:rFonts w:cstheme="minorHAnsi"/>
                <w:b/>
              </w:rPr>
            </w:pPr>
          </w:p>
        </w:tc>
      </w:tr>
      <w:tr w:rsidR="0075728B" w:rsidRPr="00F515D6" w14:paraId="3E96AEE6" w14:textId="1EB94984" w:rsidTr="00D76FE7">
        <w:tc>
          <w:tcPr>
            <w:tcW w:w="562" w:type="dxa"/>
          </w:tcPr>
          <w:p w14:paraId="79523BCD" w14:textId="77777777" w:rsidR="0075728B" w:rsidRPr="00C312EF" w:rsidRDefault="0075728B" w:rsidP="0042202B">
            <w:pPr>
              <w:rPr>
                <w:rFonts w:cstheme="minorHAnsi"/>
                <w:b/>
              </w:rPr>
            </w:pPr>
            <w:r w:rsidRPr="00C312EF">
              <w:rPr>
                <w:rFonts w:cstheme="minorHAnsi"/>
                <w:b/>
              </w:rPr>
              <w:t>116</w:t>
            </w:r>
          </w:p>
        </w:tc>
        <w:tc>
          <w:tcPr>
            <w:tcW w:w="993" w:type="dxa"/>
          </w:tcPr>
          <w:p w14:paraId="62CD22CE" w14:textId="77777777" w:rsidR="0075728B" w:rsidRPr="00C312EF" w:rsidRDefault="0075728B" w:rsidP="0042202B">
            <w:pPr>
              <w:rPr>
                <w:rFonts w:cstheme="minorHAnsi"/>
                <w:b/>
              </w:rPr>
            </w:pPr>
            <w:r w:rsidRPr="00C312EF">
              <w:rPr>
                <w:rFonts w:cstheme="minorHAnsi"/>
                <w:b/>
              </w:rPr>
              <w:t>KOSR</w:t>
            </w:r>
          </w:p>
        </w:tc>
        <w:tc>
          <w:tcPr>
            <w:tcW w:w="1701" w:type="dxa"/>
          </w:tcPr>
          <w:p w14:paraId="72BD1213" w14:textId="77777777" w:rsidR="0075728B" w:rsidRPr="00C312EF" w:rsidRDefault="0075728B" w:rsidP="0042202B">
            <w:pPr>
              <w:rPr>
                <w:rFonts w:cstheme="minorHAnsi"/>
                <w:b/>
              </w:rPr>
            </w:pPr>
            <w:r w:rsidRPr="00C312EF">
              <w:rPr>
                <w:rFonts w:cstheme="minorHAnsi"/>
                <w:b/>
              </w:rPr>
              <w:t>OSR</w:t>
            </w:r>
          </w:p>
        </w:tc>
        <w:tc>
          <w:tcPr>
            <w:tcW w:w="5953" w:type="dxa"/>
          </w:tcPr>
          <w:p w14:paraId="5A6B498E" w14:textId="77777777" w:rsidR="0075728B" w:rsidRPr="00C312EF" w:rsidRDefault="0075728B" w:rsidP="0042202B">
            <w:pPr>
              <w:autoSpaceDE w:val="0"/>
              <w:autoSpaceDN w:val="0"/>
              <w:adjustRightInd w:val="0"/>
              <w:rPr>
                <w:rFonts w:cs="Lato-Regular"/>
                <w:b/>
              </w:rPr>
            </w:pPr>
            <w:r w:rsidRPr="00C312EF">
              <w:rPr>
                <w:rFonts w:cs="Lato-Regular"/>
                <w:b/>
              </w:rPr>
              <w:t>Skutki finansowe:</w:t>
            </w:r>
          </w:p>
          <w:p w14:paraId="6ADA41C3" w14:textId="22F132E8" w:rsidR="0075728B" w:rsidRPr="00C312EF" w:rsidRDefault="0075728B" w:rsidP="0042202B">
            <w:pPr>
              <w:autoSpaceDE w:val="0"/>
              <w:autoSpaceDN w:val="0"/>
              <w:adjustRightInd w:val="0"/>
              <w:rPr>
                <w:rFonts w:cs="Lato-Regular"/>
                <w:b/>
              </w:rPr>
            </w:pPr>
            <w:r w:rsidRPr="00C312EF">
              <w:rPr>
                <w:rFonts w:cs="Lato-Regular"/>
                <w:b/>
              </w:rPr>
              <w:t>a. warto wyjaśnić, na jakiej podstawie przyjęto spadek o 40% liczby</w:t>
            </w:r>
            <w:r>
              <w:rPr>
                <w:rFonts w:cs="Lato-Regular"/>
                <w:b/>
              </w:rPr>
              <w:t xml:space="preserve"> </w:t>
            </w:r>
            <w:r w:rsidRPr="00C312EF">
              <w:rPr>
                <w:rFonts w:cs="Lato-Regular"/>
                <w:b/>
              </w:rPr>
              <w:t>zarejestrowanych pojazdów spoza UE począwszy od drugiego roku</w:t>
            </w:r>
            <w:r>
              <w:rPr>
                <w:rFonts w:cs="Lato-Regular"/>
                <w:b/>
              </w:rPr>
              <w:t xml:space="preserve"> </w:t>
            </w:r>
            <w:r w:rsidRPr="00C312EF">
              <w:rPr>
                <w:rFonts w:cs="Lato-Regular"/>
                <w:b/>
              </w:rPr>
              <w:t>obowiązywania regulacji;</w:t>
            </w:r>
          </w:p>
          <w:p w14:paraId="60053706" w14:textId="067DB7E3" w:rsidR="0075728B" w:rsidRPr="00C312EF" w:rsidRDefault="0075728B" w:rsidP="0042202B">
            <w:pPr>
              <w:autoSpaceDE w:val="0"/>
              <w:autoSpaceDN w:val="0"/>
              <w:adjustRightInd w:val="0"/>
              <w:rPr>
                <w:rFonts w:cs="Lato-Regular"/>
                <w:b/>
              </w:rPr>
            </w:pPr>
            <w:r w:rsidRPr="00C312EF">
              <w:rPr>
                <w:rFonts w:cs="Lato-Regular"/>
                <w:b/>
              </w:rPr>
              <w:t>b. wpływy z VAT – wydaje się, że w szacunkach w kolejnych latach nie uwzględniono pojazdów, które mogą nie uzyskać świadectwa (przyjęta dla pierwszego roku korekta 3%);</w:t>
            </w:r>
          </w:p>
          <w:p w14:paraId="42F72131" w14:textId="5C20395A" w:rsidR="0075728B" w:rsidRPr="002D5485" w:rsidRDefault="0075728B" w:rsidP="0042202B">
            <w:pPr>
              <w:autoSpaceDE w:val="0"/>
              <w:autoSpaceDN w:val="0"/>
              <w:adjustRightInd w:val="0"/>
              <w:rPr>
                <w:rFonts w:cs="Lato-Regular"/>
                <w:b/>
              </w:rPr>
            </w:pPr>
            <w:bookmarkStart w:id="70" w:name="_Hlk225169086"/>
            <w:r w:rsidRPr="002D5485">
              <w:rPr>
                <w:rFonts w:cs="Lato-Regular"/>
                <w:b/>
              </w:rPr>
              <w:t>c. nie oszacowano skutków przeprowadzenia przez służby techniczne badania w pozostałym zakresie wynikającym z protokołu uprawnionego diagnosty (opłata ok. 5 000 zł) – warto skomentować, że nie zakłada się tych czynności (bądź</w:t>
            </w:r>
          </w:p>
          <w:p w14:paraId="1DC12E58" w14:textId="77777777" w:rsidR="0075728B" w:rsidRPr="002D5485" w:rsidRDefault="0075728B" w:rsidP="0042202B">
            <w:pPr>
              <w:autoSpaceDE w:val="0"/>
              <w:autoSpaceDN w:val="0"/>
              <w:adjustRightInd w:val="0"/>
              <w:rPr>
                <w:rFonts w:cs="Lato-Regular"/>
                <w:b/>
              </w:rPr>
            </w:pPr>
            <w:r w:rsidRPr="002D5485">
              <w:rPr>
                <w:rFonts w:cs="Lato-Regular"/>
                <w:b/>
              </w:rPr>
              <w:t>oszacować skutki, jeśli się zakłada);</w:t>
            </w:r>
          </w:p>
          <w:bookmarkEnd w:id="70"/>
          <w:p w14:paraId="6B5E03FD" w14:textId="1F0FD737" w:rsidR="0075728B" w:rsidRPr="002D5485" w:rsidRDefault="0075728B" w:rsidP="0042202B">
            <w:pPr>
              <w:autoSpaceDE w:val="0"/>
              <w:autoSpaceDN w:val="0"/>
              <w:adjustRightInd w:val="0"/>
              <w:rPr>
                <w:rFonts w:cs="Lato-Regular"/>
                <w:b/>
              </w:rPr>
            </w:pPr>
            <w:r w:rsidRPr="002D5485">
              <w:rPr>
                <w:rFonts w:cs="Lato-Regular"/>
                <w:b/>
              </w:rPr>
              <w:t>d. w zakresie szkolenia i egzaminowania diagnostów przez TDT i ITS, wykazano koszty na poziomie łącznym dla TDT i ITS na poziomie 4 627 751,8 zł w 2026 r. oraz wpływy z opłaty za szkolenie 1100 zł i bez egzaminu (daje to wpływy na</w:t>
            </w:r>
          </w:p>
          <w:p w14:paraId="0879B585" w14:textId="38A97FE0" w:rsidR="0075728B" w:rsidRPr="002D5485" w:rsidRDefault="0075728B" w:rsidP="0042202B">
            <w:pPr>
              <w:autoSpaceDE w:val="0"/>
              <w:autoSpaceDN w:val="0"/>
              <w:adjustRightInd w:val="0"/>
              <w:rPr>
                <w:rFonts w:cs="Lato-Regular"/>
                <w:b/>
              </w:rPr>
            </w:pPr>
            <w:r w:rsidRPr="002D5485">
              <w:rPr>
                <w:rFonts w:cs="Lato-Regular"/>
                <w:b/>
              </w:rPr>
              <w:t>poziomie 6,6 mln zł). Z kolei od 2027 r. wpływy z opłat za szkolenie (1700 zł) oraz egzamin (200 zł) od 6000 diagnostów dają 11,4 mln. Zasadne jest wyjaśnienie:</w:t>
            </w:r>
          </w:p>
          <w:p w14:paraId="58C5F251" w14:textId="59813CF0" w:rsidR="0075728B" w:rsidRPr="002D5485" w:rsidRDefault="0075728B" w:rsidP="0042202B">
            <w:pPr>
              <w:autoSpaceDE w:val="0"/>
              <w:autoSpaceDN w:val="0"/>
              <w:adjustRightInd w:val="0"/>
              <w:rPr>
                <w:rFonts w:cs="Lato-Regular"/>
                <w:b/>
              </w:rPr>
            </w:pPr>
            <w:r w:rsidRPr="002D5485">
              <w:rPr>
                <w:rFonts w:cs="Lato-Regular"/>
                <w:b/>
              </w:rPr>
              <w:t>i. dysproporcji w opłatach za szkolenia i kosztach szkoleń (nadwyżki</w:t>
            </w:r>
            <w:r>
              <w:rPr>
                <w:rFonts w:cs="Lato-Regular"/>
                <w:b/>
              </w:rPr>
              <w:t xml:space="preserve"> </w:t>
            </w:r>
            <w:r w:rsidRPr="002D5485">
              <w:rPr>
                <w:rFonts w:cs="Lato-Regular"/>
                <w:b/>
              </w:rPr>
              <w:t>wpływów ponad koszty);</w:t>
            </w:r>
          </w:p>
          <w:p w14:paraId="0FB69765" w14:textId="416371DE" w:rsidR="0075728B" w:rsidRPr="002D5485" w:rsidRDefault="0075728B" w:rsidP="0042202B">
            <w:pPr>
              <w:autoSpaceDE w:val="0"/>
              <w:autoSpaceDN w:val="0"/>
              <w:adjustRightInd w:val="0"/>
              <w:rPr>
                <w:rFonts w:cs="Lato-Regular"/>
                <w:b/>
              </w:rPr>
            </w:pPr>
            <w:r w:rsidRPr="002D5485">
              <w:rPr>
                <w:rFonts w:cs="Lato-Regular"/>
                <w:b/>
              </w:rPr>
              <w:t>ii. czy co roku 6 tys. diagnostów będzie szkolonych (co ma uzasadniać skalę nowego zatrudnienia);</w:t>
            </w:r>
          </w:p>
          <w:p w14:paraId="6ADAA6AD" w14:textId="77777777" w:rsidR="0075728B" w:rsidRPr="002D5485" w:rsidRDefault="0075728B" w:rsidP="0042202B">
            <w:pPr>
              <w:autoSpaceDE w:val="0"/>
              <w:autoSpaceDN w:val="0"/>
              <w:adjustRightInd w:val="0"/>
              <w:rPr>
                <w:rFonts w:cs="Lato-Regular"/>
                <w:b/>
              </w:rPr>
            </w:pPr>
            <w:r w:rsidRPr="002D5485">
              <w:rPr>
                <w:rFonts w:cs="Lato-Regular"/>
                <w:b/>
              </w:rPr>
              <w:t>iii. czy pozycja „wynagrodzenie dla pracowników o wysokich</w:t>
            </w:r>
          </w:p>
          <w:p w14:paraId="61392266" w14:textId="77777777" w:rsidR="0075728B" w:rsidRPr="002D5485" w:rsidRDefault="0075728B" w:rsidP="0042202B">
            <w:pPr>
              <w:autoSpaceDE w:val="0"/>
              <w:autoSpaceDN w:val="0"/>
              <w:adjustRightInd w:val="0"/>
              <w:rPr>
                <w:rFonts w:cs="Lato-Regular"/>
                <w:b/>
              </w:rPr>
            </w:pPr>
            <w:r w:rsidRPr="002D5485">
              <w:rPr>
                <w:rFonts w:cs="Lato-Regular"/>
                <w:b/>
              </w:rPr>
              <w:t>kwalifikacjach” odnosi się do 7 pracowników (wykładowców/</w:t>
            </w:r>
          </w:p>
          <w:p w14:paraId="67E97E17" w14:textId="77777777" w:rsidR="0075728B" w:rsidRPr="002D5485" w:rsidRDefault="0075728B" w:rsidP="0042202B">
            <w:pPr>
              <w:autoSpaceDE w:val="0"/>
              <w:autoSpaceDN w:val="0"/>
              <w:adjustRightInd w:val="0"/>
              <w:rPr>
                <w:rFonts w:cs="Lato-Regular"/>
                <w:b/>
              </w:rPr>
            </w:pPr>
            <w:r w:rsidRPr="002D5485">
              <w:rPr>
                <w:rFonts w:cs="Lato-Regular"/>
                <w:b/>
              </w:rPr>
              <w:t>egzaminatorów oraz pracowników do organizacji) czy tylko do</w:t>
            </w:r>
          </w:p>
          <w:p w14:paraId="03972CCC" w14:textId="77777777" w:rsidR="0075728B" w:rsidRPr="002D5485" w:rsidRDefault="0075728B" w:rsidP="0042202B">
            <w:pPr>
              <w:autoSpaceDE w:val="0"/>
              <w:autoSpaceDN w:val="0"/>
              <w:adjustRightInd w:val="0"/>
              <w:rPr>
                <w:rFonts w:cs="Lato-Regular"/>
                <w:b/>
              </w:rPr>
            </w:pPr>
            <w:r w:rsidRPr="002D5485">
              <w:rPr>
                <w:rFonts w:cs="Lato-Regular"/>
                <w:b/>
              </w:rPr>
              <w:t>wykładowców/ egzaminatorów;</w:t>
            </w:r>
          </w:p>
          <w:p w14:paraId="5860DE8F" w14:textId="744EFE9B" w:rsidR="0075728B" w:rsidRPr="002D5485" w:rsidRDefault="0075728B" w:rsidP="0042202B">
            <w:pPr>
              <w:autoSpaceDE w:val="0"/>
              <w:autoSpaceDN w:val="0"/>
              <w:adjustRightInd w:val="0"/>
              <w:rPr>
                <w:rFonts w:cs="Lato-Regular"/>
                <w:b/>
              </w:rPr>
            </w:pPr>
            <w:r w:rsidRPr="002D5485">
              <w:rPr>
                <w:rFonts w:cs="Lato-Regular"/>
                <w:b/>
              </w:rPr>
              <w:t>e. koszty pozaosobowe należy wykazać w rozbiciu na szczegółowe pozycje (a nie przypisać koszt do całej grupy wydatków) oraz przedstawić szczegółowo metodykę ich szacowania;</w:t>
            </w:r>
          </w:p>
          <w:p w14:paraId="3E1CE5F6" w14:textId="1B0A7634" w:rsidR="0075728B" w:rsidRPr="002D5485" w:rsidRDefault="0075728B" w:rsidP="0042202B">
            <w:pPr>
              <w:autoSpaceDE w:val="0"/>
              <w:autoSpaceDN w:val="0"/>
              <w:adjustRightInd w:val="0"/>
              <w:rPr>
                <w:rFonts w:cs="Lato-Regular"/>
                <w:b/>
              </w:rPr>
            </w:pPr>
            <w:r w:rsidRPr="002D5485">
              <w:rPr>
                <w:rFonts w:cs="Lato-Regular"/>
                <w:b/>
              </w:rPr>
              <w:t>f. należy przedstawić wyliczenia prowadzące do oszacowanych kosztów po stronie podmiotów wprowadzających produkty do obrotu (w tym założenia odnośnie skali opłat 0,2% ceny netto oraz 1% ceny netto);</w:t>
            </w:r>
          </w:p>
          <w:p w14:paraId="6B227402" w14:textId="360CA4C2" w:rsidR="0075728B" w:rsidRPr="002D5485" w:rsidRDefault="0075728B" w:rsidP="0042202B">
            <w:pPr>
              <w:autoSpaceDE w:val="0"/>
              <w:autoSpaceDN w:val="0"/>
              <w:adjustRightInd w:val="0"/>
              <w:rPr>
                <w:rFonts w:cs="Lato-Regular"/>
                <w:b/>
              </w:rPr>
            </w:pPr>
            <w:r w:rsidRPr="002D5485">
              <w:rPr>
                <w:rFonts w:cs="Lato-Regular"/>
                <w:b/>
              </w:rPr>
              <w:t>g. należy wyjaśnić jak w obliczeniach kosztów nadzoru zastosowano wymóg, aby minimalna liczba badań dla każdego państwa członkowskiego wynosiła jeden na każde 40 000 nowych pojazdów silnikowych zarejestrowanych w tym państwie</w:t>
            </w:r>
          </w:p>
          <w:p w14:paraId="6F63C3AF" w14:textId="32B247F7" w:rsidR="0075728B" w:rsidRPr="002D5485" w:rsidRDefault="0075728B" w:rsidP="0042202B">
            <w:pPr>
              <w:autoSpaceDE w:val="0"/>
              <w:autoSpaceDN w:val="0"/>
              <w:adjustRightInd w:val="0"/>
              <w:rPr>
                <w:rFonts w:cs="Lato-Regular"/>
                <w:b/>
              </w:rPr>
            </w:pPr>
            <w:r w:rsidRPr="002D5485">
              <w:rPr>
                <w:rFonts w:cs="Lato-Regular"/>
                <w:b/>
              </w:rPr>
              <w:t>członkowskim w roku poprzednim, ale nie mniej niż pięć badań. Dodatkowo organy nadzoru rynku przeprowadzające więcej niż pięć badań rocznie przeprowadzą co najmniej 20% minimalnej liczby badań w formie badań związanych z emisją zanieczyszczeń porównywalnych z badaniami przeprowadzanymi w ramach homologacji typ;</w:t>
            </w:r>
          </w:p>
          <w:p w14:paraId="4DE17950" w14:textId="2A3BD46A" w:rsidR="0075728B" w:rsidRPr="002D5485" w:rsidRDefault="0075728B" w:rsidP="0042202B">
            <w:pPr>
              <w:autoSpaceDE w:val="0"/>
              <w:autoSpaceDN w:val="0"/>
              <w:adjustRightInd w:val="0"/>
              <w:rPr>
                <w:rFonts w:cs="Lato-Regular"/>
                <w:b/>
              </w:rPr>
            </w:pPr>
            <w:r w:rsidRPr="002D5485">
              <w:rPr>
                <w:rFonts w:cs="Lato-Regular"/>
                <w:b/>
              </w:rPr>
              <w:t>h. należy oszacować, ile wynosić będą koszty ustanowienia Dyrektora TDT organem nadzoru rynku nad hulajnogami elektrycznymi w zakresie spełniania przez te pojazdy warunków technicznych; należy wyjaśnić co zostało wykazane w tabeli w pkt 6 OSR w zakresie dochodów bp oraz wydatków TDT (suma jakich pozycji);</w:t>
            </w:r>
          </w:p>
          <w:p w14:paraId="0713E60F" w14:textId="3546D22A" w:rsidR="0075728B" w:rsidRPr="002D5485" w:rsidRDefault="0075728B" w:rsidP="0042202B">
            <w:pPr>
              <w:autoSpaceDE w:val="0"/>
              <w:autoSpaceDN w:val="0"/>
              <w:adjustRightInd w:val="0"/>
              <w:rPr>
                <w:rFonts w:cs="Lato-Regular"/>
                <w:b/>
              </w:rPr>
            </w:pPr>
            <w:r w:rsidRPr="002D5485">
              <w:rPr>
                <w:rFonts w:cs="Lato-Regular"/>
                <w:b/>
              </w:rPr>
              <w:t>j. w tabeli w pkt 6 OSR należy ująć nadwyżkę przekazywaną do Funduszu rozwoju przewozów autobusowych o charakterze użyteczności publicznej;</w:t>
            </w:r>
          </w:p>
          <w:p w14:paraId="00625C80" w14:textId="1B51AF76" w:rsidR="0075728B" w:rsidRPr="002D5485" w:rsidRDefault="0075728B" w:rsidP="0042202B">
            <w:pPr>
              <w:autoSpaceDE w:val="0"/>
              <w:autoSpaceDN w:val="0"/>
              <w:adjustRightInd w:val="0"/>
              <w:rPr>
                <w:rFonts w:cs="Lato-Regular"/>
                <w:b/>
              </w:rPr>
            </w:pPr>
            <w:r w:rsidRPr="002D5485">
              <w:rPr>
                <w:rFonts w:cs="Lato-Regular"/>
                <w:b/>
              </w:rPr>
              <w:t>k. w tabeli w pkt 7 OSR należy ująć skutki finansowe zmian w zakresie akcji serwisowych;</w:t>
            </w:r>
          </w:p>
          <w:p w14:paraId="40657EC4" w14:textId="158E472E" w:rsidR="0075728B" w:rsidRPr="002D5485" w:rsidRDefault="0075728B" w:rsidP="0042202B">
            <w:pPr>
              <w:autoSpaceDE w:val="0"/>
              <w:autoSpaceDN w:val="0"/>
              <w:adjustRightInd w:val="0"/>
              <w:rPr>
                <w:rFonts w:cs="Lato-Regular"/>
                <w:b/>
              </w:rPr>
            </w:pPr>
            <w:r w:rsidRPr="002D5485">
              <w:rPr>
                <w:rFonts w:cs="Lato-Regular"/>
                <w:b/>
              </w:rPr>
              <w:t>l. rekomendowane jest także przedstawienie, w załączniku do OSR albo w informacjach dodatkowych, zestawienia całościowego kosztów oraz dochodów w 11-letniej perspektywie, w podziale na poszczególne szczegółowe kategorie (koszty zatrudnienia, koszty pojazdów koszty, koszty wynajmu powierzchni itd.)</w:t>
            </w:r>
            <w:r>
              <w:rPr>
                <w:rFonts w:cs="Lato-Regular"/>
                <w:b/>
              </w:rPr>
              <w:t xml:space="preserve"> </w:t>
            </w:r>
            <w:r w:rsidRPr="002D5485">
              <w:rPr>
                <w:rFonts w:cs="Lato-Regular"/>
                <w:b/>
              </w:rPr>
              <w:t>dla podmiotów objętych regulacją (ale bez wpływów zwrotnych do jednostek sektora finansów publicznych z tytułu dodatkowego zatrudnienia).</w:t>
            </w:r>
          </w:p>
        </w:tc>
        <w:tc>
          <w:tcPr>
            <w:tcW w:w="3827" w:type="dxa"/>
          </w:tcPr>
          <w:p w14:paraId="1C5A3190" w14:textId="750F5C16" w:rsidR="0075728B" w:rsidRDefault="0075728B" w:rsidP="0042202B">
            <w:pPr>
              <w:rPr>
                <w:rFonts w:cs="Lato-Regular"/>
                <w:b/>
              </w:rPr>
            </w:pPr>
            <w:r>
              <w:rPr>
                <w:rFonts w:cs="Lato-Regular"/>
                <w:b/>
              </w:rPr>
              <w:t>Uwaga wyjaśniona.</w:t>
            </w:r>
          </w:p>
          <w:p w14:paraId="17EC850B" w14:textId="3E62F200" w:rsidR="0075728B" w:rsidRDefault="0075728B" w:rsidP="0042202B">
            <w:pPr>
              <w:rPr>
                <w:rFonts w:cs="Lato-Regular"/>
                <w:b/>
              </w:rPr>
            </w:pPr>
            <w:r>
              <w:rPr>
                <w:rFonts w:cs="Lato-Regular"/>
                <w:b/>
              </w:rPr>
              <w:t>a. j</w:t>
            </w:r>
            <w:r w:rsidRPr="00EA66B4">
              <w:rPr>
                <w:rFonts w:cs="Lato-Regular"/>
                <w:b/>
              </w:rPr>
              <w:t xml:space="preserve">est to </w:t>
            </w:r>
            <w:r>
              <w:rPr>
                <w:rFonts w:cs="Lato-Regular"/>
                <w:b/>
              </w:rPr>
              <w:t xml:space="preserve">jedynie </w:t>
            </w:r>
            <w:r w:rsidRPr="00EA66B4">
              <w:rPr>
                <w:rFonts w:cs="Lato-Regular"/>
                <w:b/>
              </w:rPr>
              <w:t>szacunek przy przyjęciu</w:t>
            </w:r>
            <w:r>
              <w:rPr>
                <w:rFonts w:cs="Lato-Regular"/>
                <w:b/>
              </w:rPr>
              <w:t xml:space="preserve"> </w:t>
            </w:r>
            <w:r w:rsidRPr="00EA66B4">
              <w:rPr>
                <w:rFonts w:cs="Lato-Regular"/>
                <w:b/>
              </w:rPr>
              <w:t>całkowit</w:t>
            </w:r>
            <w:r>
              <w:rPr>
                <w:rFonts w:cs="Lato-Regular"/>
                <w:b/>
              </w:rPr>
              <w:t>ej</w:t>
            </w:r>
            <w:r w:rsidRPr="00EA66B4">
              <w:rPr>
                <w:rFonts w:cs="Lato-Regular"/>
                <w:b/>
              </w:rPr>
              <w:t xml:space="preserve"> liczb</w:t>
            </w:r>
            <w:r>
              <w:rPr>
                <w:rFonts w:cs="Lato-Regular"/>
                <w:b/>
              </w:rPr>
              <w:t>y</w:t>
            </w:r>
            <w:r w:rsidRPr="00EA66B4">
              <w:rPr>
                <w:rFonts w:cs="Lato-Regular"/>
                <w:b/>
              </w:rPr>
              <w:t xml:space="preserve"> pojazdów</w:t>
            </w:r>
            <w:r>
              <w:rPr>
                <w:rFonts w:cs="Lato-Regular"/>
                <w:b/>
              </w:rPr>
              <w:t xml:space="preserve"> </w:t>
            </w:r>
            <w:r w:rsidRPr="00EA66B4">
              <w:rPr>
                <w:rFonts w:cs="Lato-Regular"/>
                <w:b/>
              </w:rPr>
              <w:t xml:space="preserve">sprowadzonych </w:t>
            </w:r>
            <w:r>
              <w:rPr>
                <w:rFonts w:cs="Lato-Regular"/>
                <w:b/>
              </w:rPr>
              <w:t xml:space="preserve">do PL w pierwszym roku wynoszącej </w:t>
            </w:r>
            <w:r w:rsidRPr="00EA66B4">
              <w:rPr>
                <w:rFonts w:cs="Lato-Regular"/>
                <w:b/>
              </w:rPr>
              <w:t xml:space="preserve">87 600 sztuk. Założono, że </w:t>
            </w:r>
            <w:r>
              <w:rPr>
                <w:rFonts w:cs="Lato-Regular"/>
                <w:b/>
              </w:rPr>
              <w:t>w 40%</w:t>
            </w:r>
            <w:r w:rsidRPr="00EA66B4">
              <w:rPr>
                <w:rFonts w:cs="Lato-Regular"/>
                <w:b/>
              </w:rPr>
              <w:t xml:space="preserve"> przypadkach </w:t>
            </w:r>
            <w:r>
              <w:rPr>
                <w:rFonts w:cs="Lato-Regular"/>
                <w:b/>
              </w:rPr>
              <w:t xml:space="preserve">ze względu na nową procedurę i konieczność przejścia m.in. badań pod kątem emisji, podmioty zrezygnują ze sprowadzania pojazdów spoza UE, gdyż </w:t>
            </w:r>
            <w:r w:rsidRPr="00EA66B4">
              <w:rPr>
                <w:rFonts w:cs="Lato-Regular"/>
                <w:b/>
              </w:rPr>
              <w:t xml:space="preserve">może nie być możliwości </w:t>
            </w:r>
            <w:r>
              <w:rPr>
                <w:rFonts w:cs="Lato-Regular"/>
                <w:b/>
              </w:rPr>
              <w:t>zapewnienia</w:t>
            </w:r>
            <w:r w:rsidRPr="00EA66B4">
              <w:rPr>
                <w:rFonts w:cs="Lato-Regular"/>
                <w:b/>
              </w:rPr>
              <w:t xml:space="preserve"> równoważności norm emisji</w:t>
            </w:r>
            <w:r>
              <w:rPr>
                <w:rFonts w:cs="Lato-Regular"/>
                <w:b/>
              </w:rPr>
              <w:t xml:space="preserve">, czy też spełnienia innych wymóg w zakresie bezpieczeństwa – a tym samym nie będą chciały ponosić kosztów przejścia procedury, mając świadomość końcowego negatywnego wyniku – w konsekwencji tego nastąpi realizacja celu UE i KE poprzez  zmniejszenie sprowadzania do UE, w przedmiotowej sprawie do PL pojazdów spoza UE często niespełniających podstawowych standardów bezpieczeństwa i ochrony środowiska. </w:t>
            </w:r>
          </w:p>
          <w:p w14:paraId="35A9429A" w14:textId="6FDD0215" w:rsidR="0075728B" w:rsidRDefault="0075728B" w:rsidP="0042202B">
            <w:pPr>
              <w:rPr>
                <w:rFonts w:cs="Lato-Regular"/>
                <w:b/>
              </w:rPr>
            </w:pPr>
            <w:r>
              <w:rPr>
                <w:rFonts w:cs="Lato-Regular"/>
                <w:b/>
              </w:rPr>
              <w:t xml:space="preserve">b. przyjęta dla pierwszego roku korekta 3% negatywnych decyzji została również wzięta pod uwagę w kolejnych latach co przejawia się zmniejszeniem liczby rozpatrywanych przez TDT skarg, a tym samym zmniejszeniem zatrudnienia w TDT w tym obszarze: pierwszy rok 87600 pojazdów x 3% = 2628 skarg – 8 osób, w kolejnych latach przy spadku liczby pojazdów o 40% tj. 52560 x 3% = 1577 skarg – 5 osób. </w:t>
            </w:r>
          </w:p>
          <w:p w14:paraId="35A3F0C6" w14:textId="3CE532ED" w:rsidR="0075728B" w:rsidRDefault="0075728B" w:rsidP="0042202B">
            <w:pPr>
              <w:rPr>
                <w:rFonts w:cs="Lato-Regular"/>
                <w:b/>
              </w:rPr>
            </w:pPr>
            <w:r>
              <w:rPr>
                <w:rFonts w:cs="Lato-Regular"/>
                <w:b/>
              </w:rPr>
              <w:t>c. n</w:t>
            </w:r>
            <w:r w:rsidRPr="002D5485">
              <w:rPr>
                <w:rFonts w:cs="Lato-Regular"/>
                <w:b/>
              </w:rPr>
              <w:t>ie oszacowano skutków przeprowadzenia przez służby techniczne badania w pozostałym zakresie wynikającym z protokołu uprawnionego diagnosty (opłata ok. 5 000 zł)</w:t>
            </w:r>
            <w:r>
              <w:rPr>
                <w:rFonts w:cs="Lato-Regular"/>
                <w:b/>
              </w:rPr>
              <w:t xml:space="preserve"> ze względu na to, iż badania te będą miały incydentalny charakter - </w:t>
            </w:r>
            <w:r w:rsidRPr="00585D26">
              <w:rPr>
                <w:rFonts w:cs="Lato-Regular"/>
                <w:b/>
              </w:rPr>
              <w:t>zasadniczo nie przewiduje się kwestii problematycznych w kontekście realizacji tej nowej procedury z uwagi na fakt, iż zagadnienia realizowane przez uprawnionego diagnostę w toku jej realizacji będą technicznie podobne do kwestii przeprowadzanych przez nich od wielu lat bada</w:t>
            </w:r>
            <w:r>
              <w:rPr>
                <w:rFonts w:cs="Lato-Regular"/>
                <w:b/>
              </w:rPr>
              <w:t>ń</w:t>
            </w:r>
            <w:r w:rsidRPr="00585D26">
              <w:rPr>
                <w:rFonts w:cs="Lato-Regular"/>
                <w:b/>
              </w:rPr>
              <w:t xml:space="preserve"> technicznych pojazdów, gdzie wobec diagnosty widnieje uprawnienie do posiłkowania się </w:t>
            </w:r>
            <w:r>
              <w:rPr>
                <w:rFonts w:cs="Lato-Regular"/>
                <w:b/>
              </w:rPr>
              <w:t>–</w:t>
            </w:r>
            <w:r w:rsidRPr="00585D26">
              <w:rPr>
                <w:rFonts w:cs="Lato-Regular"/>
                <w:b/>
              </w:rPr>
              <w:t xml:space="preserve"> w tym przypadku- opinią rzeczoznawcy, tak więc nie przewiduje się problemów z realizacją procedury na poziomie diagnosty i konieczności posiłkowania się przez niego dodatkowymi opiniami.</w:t>
            </w:r>
            <w:r>
              <w:t xml:space="preserve"> </w:t>
            </w:r>
          </w:p>
          <w:p w14:paraId="6D589DB7" w14:textId="6B801847" w:rsidR="0075728B" w:rsidRDefault="0075728B" w:rsidP="0042202B">
            <w:pPr>
              <w:rPr>
                <w:rFonts w:cs="Lato-Regular"/>
                <w:b/>
              </w:rPr>
            </w:pPr>
            <w:r>
              <w:rPr>
                <w:rFonts w:cs="Lato-Regular"/>
                <w:b/>
              </w:rPr>
              <w:t xml:space="preserve">d. wprowadzono zmniejszenie liczby szkoleń i przesunięto osoby do realizacji innych zadań.    </w:t>
            </w:r>
          </w:p>
          <w:p w14:paraId="7BA761C0" w14:textId="60257C6C" w:rsidR="0075728B" w:rsidRPr="00D76C9E" w:rsidRDefault="0075728B" w:rsidP="0042202B">
            <w:pPr>
              <w:rPr>
                <w:rFonts w:cs="Lato-Regular"/>
                <w:b/>
              </w:rPr>
            </w:pPr>
            <w:r>
              <w:rPr>
                <w:rFonts w:cs="Lato-Regular"/>
                <w:b/>
              </w:rPr>
              <w:t xml:space="preserve">e, f, g, h, k, l – stosowne zmiany wprowadzono w OSR + przygotowano dodatkowe tabele zawierające szczegółowe wyliczenia + uwaga wyjaśniona: </w:t>
            </w:r>
            <w:r w:rsidRPr="00962381">
              <w:rPr>
                <w:rFonts w:cs="Lato-Regular"/>
                <w:b/>
              </w:rPr>
              <w:t xml:space="preserve">Dyrektor TDT w styczniu każdego roku występuje do CEPiK o liczbę nowych, nowozarejestrowanych pojazdów w celu ustalenia liczby pojazdów, która będą podlegać obowiązkowym badaniom określonym w art. 8 ust. 2 rozporządzenia (UE) 2018/858. Koszty badań zostały określone w OSR na podstawie danych uzyskanych z laboratoriów (polskich oraz europejskich) o cenach tych badań. </w:t>
            </w:r>
          </w:p>
          <w:p w14:paraId="10BD05DD" w14:textId="5F5DEEB8" w:rsidR="0075728B" w:rsidRPr="00F515D6" w:rsidRDefault="0075728B" w:rsidP="0042202B">
            <w:pPr>
              <w:autoSpaceDE w:val="0"/>
              <w:autoSpaceDN w:val="0"/>
              <w:adjustRightInd w:val="0"/>
              <w:rPr>
                <w:rFonts w:cstheme="minorHAnsi"/>
              </w:rPr>
            </w:pPr>
            <w:r w:rsidRPr="00394188">
              <w:rPr>
                <w:rFonts w:cs="Lato-Regular"/>
                <w:b/>
              </w:rPr>
              <w:t>j. uwaga nieaktualna – wykreślono z UC95 przepisy dotyczące przeznaczenia nadwyżk</w:t>
            </w:r>
            <w:r>
              <w:rPr>
                <w:rFonts w:cs="Lato-Regular"/>
                <w:b/>
              </w:rPr>
              <w:t>i</w:t>
            </w:r>
            <w:r w:rsidRPr="00394188">
              <w:rPr>
                <w:rFonts w:cs="Lato-Regular"/>
                <w:b/>
              </w:rPr>
              <w:t xml:space="preserve"> z opłaty na Fundusz rozwoju przewozów autobusowych o charakterze użyteczności publicznej.</w:t>
            </w:r>
          </w:p>
        </w:tc>
        <w:tc>
          <w:tcPr>
            <w:tcW w:w="3686" w:type="dxa"/>
          </w:tcPr>
          <w:p w14:paraId="5CA47CBF" w14:textId="77777777" w:rsidR="0075728B" w:rsidRDefault="00657F53" w:rsidP="0042202B">
            <w:pPr>
              <w:rPr>
                <w:rFonts w:cstheme="minorHAnsi"/>
                <w:b/>
              </w:rPr>
            </w:pPr>
            <w:r>
              <w:rPr>
                <w:rFonts w:cstheme="minorHAnsi"/>
                <w:b/>
              </w:rPr>
              <w:t>Brak udziału przedstawicieli – konieczne spotkanie z KOSR</w:t>
            </w:r>
          </w:p>
          <w:p w14:paraId="535D61C4" w14:textId="77777777" w:rsidR="003B50B0" w:rsidRDefault="003B50B0" w:rsidP="0042202B">
            <w:pPr>
              <w:rPr>
                <w:rFonts w:cs="Lato-Regular"/>
                <w:b/>
              </w:rPr>
            </w:pPr>
          </w:p>
          <w:p w14:paraId="3EC4A937" w14:textId="77777777" w:rsidR="003B50B0" w:rsidRDefault="00297ED7" w:rsidP="0042202B">
            <w:pPr>
              <w:rPr>
                <w:rFonts w:cs="Lato-Regular"/>
                <w:b/>
                <w:color w:val="0070C0"/>
              </w:rPr>
            </w:pPr>
            <w:r>
              <w:rPr>
                <w:rFonts w:cs="Lato-Regular"/>
                <w:b/>
                <w:color w:val="0070C0"/>
              </w:rPr>
              <w:t>Wpisano do</w:t>
            </w:r>
            <w:r w:rsidR="003B50B0" w:rsidRPr="003B50B0">
              <w:rPr>
                <w:rFonts w:cs="Lato-Regular"/>
                <w:b/>
                <w:color w:val="0070C0"/>
              </w:rPr>
              <w:t xml:space="preserve"> OSR</w:t>
            </w:r>
            <w:r w:rsidR="006F5BB5">
              <w:rPr>
                <w:rFonts w:cs="Lato-Regular"/>
                <w:b/>
                <w:color w:val="0070C0"/>
              </w:rPr>
              <w:t xml:space="preserve"> </w:t>
            </w:r>
            <w:r>
              <w:rPr>
                <w:rFonts w:cs="Lato-Regular"/>
                <w:b/>
                <w:color w:val="0070C0"/>
              </w:rPr>
              <w:t>wyjaśnienia dotyczące</w:t>
            </w:r>
            <w:r w:rsidR="006F5BB5">
              <w:rPr>
                <w:rFonts w:cs="Lato-Regular"/>
                <w:b/>
                <w:color w:val="0070C0"/>
              </w:rPr>
              <w:t xml:space="preserve"> lit. a, b i c</w:t>
            </w:r>
            <w:r w:rsidR="003B50B0">
              <w:rPr>
                <w:rFonts w:cs="Lato-Regular"/>
                <w:b/>
                <w:color w:val="0070C0"/>
              </w:rPr>
              <w:t xml:space="preserve">. </w:t>
            </w:r>
          </w:p>
          <w:p w14:paraId="2287604F" w14:textId="77777777" w:rsidR="000841CE" w:rsidRDefault="000841CE" w:rsidP="0042202B">
            <w:pPr>
              <w:rPr>
                <w:rFonts w:cs="Lato-Regular"/>
                <w:b/>
              </w:rPr>
            </w:pPr>
          </w:p>
          <w:p w14:paraId="45460825" w14:textId="7FDE8820" w:rsidR="000841CE" w:rsidRDefault="000841CE" w:rsidP="00D150F0">
            <w:pPr>
              <w:rPr>
                <w:rFonts w:cs="Lato-Regular"/>
                <w:b/>
              </w:rPr>
            </w:pPr>
            <w:r w:rsidRPr="00104748">
              <w:rPr>
                <w:rFonts w:cstheme="minorHAnsi"/>
                <w:b/>
                <w:color w:val="0070C0"/>
                <w:u w:val="single"/>
              </w:rPr>
              <w:t>W wyniku roboczego uzgadniania w OSR wprowadzono zmiany zgodnie z uwagami/zapytaniami KORS</w:t>
            </w:r>
            <w:r w:rsidR="00D150F0">
              <w:rPr>
                <w:rFonts w:cstheme="minorHAnsi"/>
                <w:b/>
                <w:color w:val="0070C0"/>
                <w:u w:val="single"/>
              </w:rPr>
              <w:t xml:space="preserve">. </w:t>
            </w:r>
          </w:p>
        </w:tc>
      </w:tr>
      <w:tr w:rsidR="0075728B" w:rsidRPr="00F515D6" w14:paraId="5FA3F11C" w14:textId="2AB36050" w:rsidTr="00D76FE7">
        <w:tc>
          <w:tcPr>
            <w:tcW w:w="562" w:type="dxa"/>
          </w:tcPr>
          <w:p w14:paraId="35C08F90" w14:textId="77777777" w:rsidR="0075728B" w:rsidRPr="007A5B68" w:rsidRDefault="0075728B" w:rsidP="0042202B">
            <w:pPr>
              <w:rPr>
                <w:rFonts w:cstheme="minorHAnsi"/>
                <w:b/>
              </w:rPr>
            </w:pPr>
            <w:r w:rsidRPr="007A5B68">
              <w:rPr>
                <w:rFonts w:cstheme="minorHAnsi"/>
                <w:b/>
              </w:rPr>
              <w:t>117</w:t>
            </w:r>
          </w:p>
        </w:tc>
        <w:tc>
          <w:tcPr>
            <w:tcW w:w="993" w:type="dxa"/>
          </w:tcPr>
          <w:p w14:paraId="37505145" w14:textId="77777777" w:rsidR="0075728B" w:rsidRPr="007A5B68" w:rsidRDefault="0075728B" w:rsidP="0042202B">
            <w:pPr>
              <w:rPr>
                <w:rFonts w:cstheme="minorHAnsi"/>
                <w:b/>
              </w:rPr>
            </w:pPr>
            <w:r w:rsidRPr="007A5B68">
              <w:rPr>
                <w:rFonts w:cstheme="minorHAnsi"/>
                <w:b/>
              </w:rPr>
              <w:t>KOSR</w:t>
            </w:r>
          </w:p>
        </w:tc>
        <w:tc>
          <w:tcPr>
            <w:tcW w:w="1701" w:type="dxa"/>
          </w:tcPr>
          <w:p w14:paraId="1F4A8242" w14:textId="77777777" w:rsidR="0075728B" w:rsidRPr="007A5B68" w:rsidRDefault="0075728B" w:rsidP="0042202B">
            <w:pPr>
              <w:rPr>
                <w:rFonts w:cstheme="minorHAnsi"/>
                <w:b/>
              </w:rPr>
            </w:pPr>
            <w:r w:rsidRPr="007A5B68">
              <w:rPr>
                <w:rFonts w:cstheme="minorHAnsi"/>
                <w:b/>
              </w:rPr>
              <w:t>Art. 129 PRD</w:t>
            </w:r>
          </w:p>
        </w:tc>
        <w:tc>
          <w:tcPr>
            <w:tcW w:w="5953" w:type="dxa"/>
          </w:tcPr>
          <w:p w14:paraId="0337F651" w14:textId="516BAD37" w:rsidR="0075728B" w:rsidRPr="007A5B68" w:rsidRDefault="0075728B" w:rsidP="0042202B">
            <w:pPr>
              <w:autoSpaceDE w:val="0"/>
              <w:autoSpaceDN w:val="0"/>
              <w:adjustRightInd w:val="0"/>
              <w:rPr>
                <w:rFonts w:cs="Lato-Regular"/>
                <w:b/>
              </w:rPr>
            </w:pPr>
            <w:bookmarkStart w:id="71" w:name="_Hlk212639050"/>
            <w:r w:rsidRPr="007A5B68">
              <w:rPr>
                <w:rFonts w:cs="Lato-Regular"/>
                <w:b/>
              </w:rPr>
              <w:t>W regulacji przeniesiono na Dyrektora TDT, będącej dotychczas w zakresie właściwości Inspekcji Handlowej kompetencji dotyczącej kontroli pojazdów, przedmiotów wyposażenia i części przeznaczonych dla konsumentów w zakresie uzyskania przez</w:t>
            </w:r>
          </w:p>
          <w:p w14:paraId="01B01451" w14:textId="7FC83870" w:rsidR="0075728B" w:rsidRPr="007A5B68" w:rsidRDefault="0075728B" w:rsidP="0042202B">
            <w:pPr>
              <w:autoSpaceDE w:val="0"/>
              <w:autoSpaceDN w:val="0"/>
              <w:adjustRightInd w:val="0"/>
              <w:rPr>
                <w:rFonts w:cs="Lato-Regular"/>
                <w:b/>
              </w:rPr>
            </w:pPr>
            <w:r w:rsidRPr="007A5B68">
              <w:rPr>
                <w:rFonts w:cs="Lato-Regular"/>
                <w:b/>
              </w:rPr>
              <w:t>producenta dokumentów homologacyjnych. Należy omówić wpływ regulacji na  odciążenie pracą w Inspekcji Handlowej (na liczbę uwolnionych etatów w wyniku zdjęcia zadania oraz oszczędności finansowe w tym zakresie).</w:t>
            </w:r>
            <w:bookmarkEnd w:id="71"/>
          </w:p>
        </w:tc>
        <w:tc>
          <w:tcPr>
            <w:tcW w:w="3827" w:type="dxa"/>
          </w:tcPr>
          <w:p w14:paraId="5EB3BC42" w14:textId="3B2830EC" w:rsidR="0075728B" w:rsidRDefault="0075728B" w:rsidP="0042202B">
            <w:pPr>
              <w:rPr>
                <w:rFonts w:cstheme="minorHAnsi"/>
                <w:b/>
              </w:rPr>
            </w:pPr>
            <w:r>
              <w:rPr>
                <w:rFonts w:cstheme="minorHAnsi"/>
                <w:b/>
              </w:rPr>
              <w:t xml:space="preserve">Uwaga wyjaśniona z Departamentem Inspekcji Handlowej UOKiK: </w:t>
            </w:r>
            <w:r w:rsidRPr="007A5B68">
              <w:rPr>
                <w:rFonts w:cstheme="minorHAnsi"/>
                <w:b/>
              </w:rPr>
              <w:t xml:space="preserve"> </w:t>
            </w:r>
          </w:p>
          <w:p w14:paraId="304A2B29" w14:textId="372EA33C" w:rsidR="0075728B" w:rsidRPr="004A1154" w:rsidRDefault="0075728B" w:rsidP="0042202B">
            <w:pPr>
              <w:rPr>
                <w:rFonts w:cstheme="minorHAnsi"/>
                <w:b/>
                <w:i/>
              </w:rPr>
            </w:pPr>
            <w:r w:rsidRPr="004A1154">
              <w:rPr>
                <w:rFonts w:cstheme="minorHAnsi"/>
                <w:b/>
                <w:i/>
              </w:rPr>
              <w:t>Realizacja kontroli pojazdów, przedmiotów wyposażenia lub części przeznaczonych dla konsumentów w zakresie uzyskania przez producenta potwierdzenia spełnienia wymagań technicznych, o których mowa w art. 70c ustawy Prawo o ruchu drogowym została powierzona organom Inspekcji Handlowej podległym Prezesowi Urzędu Ochrony Konkurencji i Konsumentów w ustawie o zmianie ustawy Prawo o ruchu drogowym oraz niektórych innych ustaw.</w:t>
            </w:r>
          </w:p>
          <w:p w14:paraId="35A92AB1" w14:textId="388F51E4" w:rsidR="0075728B" w:rsidRPr="004A1154" w:rsidRDefault="0075728B" w:rsidP="0042202B">
            <w:pPr>
              <w:rPr>
                <w:rFonts w:cstheme="minorHAnsi"/>
                <w:b/>
                <w:i/>
              </w:rPr>
            </w:pPr>
            <w:r w:rsidRPr="004A1154">
              <w:rPr>
                <w:rFonts w:cstheme="minorHAnsi"/>
                <w:b/>
                <w:i/>
              </w:rPr>
              <w:t>Należy podkreślić, że w momencie wejścia w życie ww. przepisów organy Inspekcja Handlowa nie otrzymała z budżetu państwa żadnych środków na prowadzenie kontroli w powyższym zakresie. Działania te były prowadzone wyłącznie z wykorzystaniem posiadanych zasobów własnych, a ich realizacja spowodowała konieczność ograniczenia liczby kontroli w innych obszarach znajdujących się w kompetencjach Inspekcji Handlowej. Zatem nie może być w tym wypadku mowy o wpływie regulacji na odciążenie pracą w Inspekcji Handlowej, tj. na liczbę uwolnionych etatów w wyniku zdjęcia zadania oraz oszczędności finansowe w tym zakresie, gdyż żadne środki na przedmiotowe kontrole nie były przekazane organom Inspekcji Handlowej. Środki przeznaczane na kontrole pojazdów, przedmiotów wyposażenia lub części przeznaczonych dla konsumentów w zakresie uzyskania przez producenta potwierdzenia spełnienia wymagań technicznych pochodziły z niezwiększonych budżetów własnych wojewódzkich inspektoratów Inspekcji Handlowej.</w:t>
            </w:r>
            <w:r>
              <w:rPr>
                <w:rFonts w:cstheme="minorHAnsi"/>
                <w:b/>
                <w:i/>
              </w:rPr>
              <w:t xml:space="preserve"> </w:t>
            </w:r>
            <w:r w:rsidRPr="004A1154">
              <w:rPr>
                <w:rFonts w:cstheme="minorHAnsi"/>
                <w:b/>
                <w:i/>
              </w:rPr>
              <w:t>Ponadto należy zauważyć, że w ostatnich latach Inspekcja Handlowa otrzymała wiele nowych zadań i przygotowywane są kolejne projekty aktów prawnych, w których ma być organem kontroli, bez równoczesnego przekazania środków finansowych na ich realizację.</w:t>
            </w:r>
          </w:p>
          <w:p w14:paraId="5BBFCF4A" w14:textId="77777777" w:rsidR="0075728B" w:rsidRDefault="0075728B" w:rsidP="0042202B">
            <w:pPr>
              <w:rPr>
                <w:rFonts w:cstheme="minorHAnsi"/>
                <w:b/>
                <w:i/>
              </w:rPr>
            </w:pPr>
            <w:r w:rsidRPr="004A1154">
              <w:rPr>
                <w:rFonts w:cstheme="minorHAnsi"/>
                <w:b/>
                <w:i/>
              </w:rPr>
              <w:t>Uwzględniając powyższe brak jest podstawy, a nadto niemożliwe jest, z operacyjnego punktu widzenia, zmniejszenie budżetów wojewódzkich inspektoratów Inspekcji Handlowej i przekazania jakichkolwiek środków w związku z przejęciem ww. zadań przez TDT.</w:t>
            </w:r>
            <w:r>
              <w:rPr>
                <w:rFonts w:cstheme="minorHAnsi"/>
                <w:b/>
                <w:i/>
              </w:rPr>
              <w:t>”</w:t>
            </w:r>
          </w:p>
          <w:p w14:paraId="5B0811E9" w14:textId="6BCCB592" w:rsidR="0075728B" w:rsidRPr="007A5B68" w:rsidRDefault="0075728B" w:rsidP="0042202B">
            <w:pPr>
              <w:rPr>
                <w:rFonts w:cstheme="minorHAnsi"/>
                <w:b/>
              </w:rPr>
            </w:pPr>
            <w:r>
              <w:rPr>
                <w:rFonts w:cstheme="minorHAnsi"/>
                <w:b/>
              </w:rPr>
              <w:t xml:space="preserve">Informacja wskazana w OSR w pkt 6. </w:t>
            </w:r>
          </w:p>
        </w:tc>
        <w:tc>
          <w:tcPr>
            <w:tcW w:w="3686" w:type="dxa"/>
          </w:tcPr>
          <w:p w14:paraId="62807AAC" w14:textId="48FCAB7B" w:rsidR="0075728B" w:rsidRDefault="00657F53" w:rsidP="0042202B">
            <w:pPr>
              <w:rPr>
                <w:rFonts w:cstheme="minorHAnsi"/>
                <w:b/>
              </w:rPr>
            </w:pPr>
            <w:r>
              <w:rPr>
                <w:rFonts w:cstheme="minorHAnsi"/>
                <w:b/>
              </w:rPr>
              <w:t>Brak udziału przedstawicieli – konieczne spotkanie z KOSR</w:t>
            </w:r>
          </w:p>
          <w:p w14:paraId="204B66A0" w14:textId="07ACD2E8" w:rsidR="000841CE" w:rsidRDefault="000841CE" w:rsidP="0042202B">
            <w:pPr>
              <w:rPr>
                <w:rFonts w:cstheme="minorHAnsi"/>
                <w:b/>
              </w:rPr>
            </w:pPr>
          </w:p>
          <w:p w14:paraId="54652EC9" w14:textId="3D56442F" w:rsidR="000841CE" w:rsidRPr="00104748" w:rsidRDefault="000841CE" w:rsidP="000841CE">
            <w:pPr>
              <w:rPr>
                <w:rFonts w:cstheme="minorHAnsi"/>
                <w:b/>
                <w:color w:val="0070C0"/>
                <w:u w:val="single"/>
              </w:rPr>
            </w:pPr>
            <w:r w:rsidRPr="00104748">
              <w:rPr>
                <w:rFonts w:cstheme="minorHAnsi"/>
                <w:b/>
                <w:color w:val="0070C0"/>
                <w:u w:val="single"/>
              </w:rPr>
              <w:t>W wyniku roboczego uzgadniania w OSR wprowadzono zmiany zgodnie z uwagami/zapytaniami KORS</w:t>
            </w:r>
            <w:r w:rsidR="00D150F0">
              <w:rPr>
                <w:rFonts w:cstheme="minorHAnsi"/>
                <w:b/>
                <w:color w:val="0070C0"/>
                <w:u w:val="single"/>
              </w:rPr>
              <w:t>.</w:t>
            </w:r>
          </w:p>
          <w:p w14:paraId="0C23CC66" w14:textId="77777777" w:rsidR="000841CE" w:rsidRDefault="000841CE" w:rsidP="0042202B">
            <w:pPr>
              <w:rPr>
                <w:rFonts w:cstheme="minorHAnsi"/>
                <w:b/>
              </w:rPr>
            </w:pPr>
          </w:p>
          <w:p w14:paraId="2687D76F" w14:textId="44608A47" w:rsidR="003B50B0" w:rsidRDefault="003B50B0" w:rsidP="0042202B">
            <w:pPr>
              <w:rPr>
                <w:rFonts w:cstheme="minorHAnsi"/>
                <w:b/>
              </w:rPr>
            </w:pPr>
          </w:p>
          <w:p w14:paraId="6D31B089" w14:textId="77777777" w:rsidR="003B50B0" w:rsidRDefault="003B50B0" w:rsidP="0042202B">
            <w:pPr>
              <w:rPr>
                <w:rFonts w:cstheme="minorHAnsi"/>
                <w:b/>
              </w:rPr>
            </w:pPr>
          </w:p>
          <w:p w14:paraId="3E82B3FB" w14:textId="3403A1D1" w:rsidR="003B50B0" w:rsidRDefault="003B50B0" w:rsidP="0042202B">
            <w:pPr>
              <w:rPr>
                <w:rFonts w:cstheme="minorHAnsi"/>
                <w:b/>
              </w:rPr>
            </w:pPr>
          </w:p>
        </w:tc>
      </w:tr>
      <w:tr w:rsidR="0075728B" w:rsidRPr="00F515D6" w14:paraId="7A9BD3D1" w14:textId="373F72A2" w:rsidTr="00D76FE7">
        <w:tc>
          <w:tcPr>
            <w:tcW w:w="562" w:type="dxa"/>
          </w:tcPr>
          <w:p w14:paraId="2F65AB5F" w14:textId="77777777" w:rsidR="0075728B" w:rsidRPr="00EE6DC0" w:rsidRDefault="0075728B" w:rsidP="0042202B">
            <w:pPr>
              <w:rPr>
                <w:rFonts w:cstheme="minorHAnsi"/>
                <w:b/>
              </w:rPr>
            </w:pPr>
            <w:r w:rsidRPr="00EE6DC0">
              <w:rPr>
                <w:rFonts w:cstheme="minorHAnsi"/>
                <w:b/>
              </w:rPr>
              <w:t>118</w:t>
            </w:r>
          </w:p>
        </w:tc>
        <w:tc>
          <w:tcPr>
            <w:tcW w:w="993" w:type="dxa"/>
          </w:tcPr>
          <w:p w14:paraId="6A6C1A13" w14:textId="77777777" w:rsidR="0075728B" w:rsidRPr="00EE6DC0" w:rsidRDefault="0075728B" w:rsidP="0042202B">
            <w:pPr>
              <w:rPr>
                <w:rFonts w:cstheme="minorHAnsi"/>
                <w:b/>
              </w:rPr>
            </w:pPr>
            <w:r w:rsidRPr="00EE6DC0">
              <w:rPr>
                <w:rFonts w:cstheme="minorHAnsi"/>
                <w:b/>
              </w:rPr>
              <w:t>KOSR</w:t>
            </w:r>
          </w:p>
        </w:tc>
        <w:tc>
          <w:tcPr>
            <w:tcW w:w="1701" w:type="dxa"/>
          </w:tcPr>
          <w:p w14:paraId="50313E71" w14:textId="27002970" w:rsidR="0075728B" w:rsidRPr="00EE6DC0" w:rsidRDefault="0075728B" w:rsidP="0042202B">
            <w:pPr>
              <w:rPr>
                <w:rFonts w:cstheme="minorHAnsi"/>
                <w:b/>
              </w:rPr>
            </w:pPr>
            <w:r w:rsidRPr="00EE6DC0">
              <w:rPr>
                <w:rFonts w:cstheme="minorHAnsi"/>
                <w:b/>
              </w:rPr>
              <w:t>Art. 69 ust. 4 pkt 2 UH</w:t>
            </w:r>
          </w:p>
        </w:tc>
        <w:tc>
          <w:tcPr>
            <w:tcW w:w="5953" w:type="dxa"/>
          </w:tcPr>
          <w:p w14:paraId="67B0D8DC" w14:textId="68727709" w:rsidR="0075728B" w:rsidRPr="00EE6DC0" w:rsidRDefault="0075728B" w:rsidP="0042202B">
            <w:pPr>
              <w:autoSpaceDE w:val="0"/>
              <w:autoSpaceDN w:val="0"/>
              <w:adjustRightInd w:val="0"/>
              <w:rPr>
                <w:rFonts w:cs="Lato-Regular"/>
                <w:b/>
              </w:rPr>
            </w:pPr>
            <w:bookmarkStart w:id="72" w:name="_Hlk212639108"/>
            <w:r w:rsidRPr="00EE6DC0">
              <w:rPr>
                <w:rFonts w:cs="Lato-Regular"/>
                <w:b/>
              </w:rPr>
              <w:t>Wskazano, że opłata za przeprowadzenie kontroli zgodności przez służbę techniczną upoważnioną do tej kontroli przez Dyrektora TDT będzie uiszczana w wysokości i terminie określonym na fakturze wystawionej przez tę służbę, a nie jak brzmi obecny</w:t>
            </w:r>
          </w:p>
          <w:p w14:paraId="6A0105AE" w14:textId="3D0ADCEB" w:rsidR="0075728B" w:rsidRPr="00EE6DC0" w:rsidRDefault="0075728B" w:rsidP="0042202B">
            <w:pPr>
              <w:autoSpaceDE w:val="0"/>
              <w:autoSpaceDN w:val="0"/>
              <w:adjustRightInd w:val="0"/>
              <w:rPr>
                <w:rFonts w:cs="Lato-Regular"/>
                <w:b/>
              </w:rPr>
            </w:pPr>
            <w:r w:rsidRPr="00EE6DC0">
              <w:rPr>
                <w:rFonts w:cs="Lato-Regular"/>
                <w:b/>
              </w:rPr>
              <w:t>przepis – na rachunku wystawionym przez służbę. Należy wykazać skutki podatkowe tego rozwiązania.</w:t>
            </w:r>
            <w:bookmarkEnd w:id="72"/>
          </w:p>
        </w:tc>
        <w:tc>
          <w:tcPr>
            <w:tcW w:w="3827" w:type="dxa"/>
          </w:tcPr>
          <w:p w14:paraId="4443DDAB" w14:textId="74AB9A5F" w:rsidR="0075728B" w:rsidRPr="00EE6DC0" w:rsidRDefault="0075728B" w:rsidP="0042202B">
            <w:pPr>
              <w:rPr>
                <w:rFonts w:cstheme="minorHAnsi"/>
                <w:b/>
              </w:rPr>
            </w:pPr>
            <w:r w:rsidRPr="00EE6DC0">
              <w:rPr>
                <w:rFonts w:cstheme="minorHAnsi"/>
                <w:b/>
              </w:rPr>
              <w:t xml:space="preserve">Uwaga wyjaśniona – </w:t>
            </w:r>
            <w:r w:rsidRPr="00715262">
              <w:rPr>
                <w:rFonts w:cstheme="minorHAnsi"/>
                <w:b/>
              </w:rPr>
              <w:t>uzupełnienie w OSR</w:t>
            </w:r>
            <w:r w:rsidRPr="00EE6DC0">
              <w:rPr>
                <w:rFonts w:cstheme="minorHAnsi"/>
                <w:b/>
              </w:rPr>
              <w:t xml:space="preserve"> – w ramach konsultacji tego zapisu ze służbami przeprowadzającymi kontrolę zgodności produkcji/montażu wynika, iż służby te niezależnie od obecnego brzmienia art. 69 ust. 4 pkt 2 wystawiają faktury za wykonywanie kontroli, zatem nie ma potrzeby wykazania skutków podatkowych tego rozwiązania.  </w:t>
            </w:r>
          </w:p>
        </w:tc>
        <w:tc>
          <w:tcPr>
            <w:tcW w:w="3686" w:type="dxa"/>
          </w:tcPr>
          <w:p w14:paraId="4630EA85" w14:textId="48C0A4AB" w:rsidR="0075728B" w:rsidRDefault="00657F53" w:rsidP="0042202B">
            <w:pPr>
              <w:rPr>
                <w:rFonts w:cstheme="minorHAnsi"/>
                <w:b/>
              </w:rPr>
            </w:pPr>
            <w:r>
              <w:rPr>
                <w:rFonts w:cstheme="minorHAnsi"/>
                <w:b/>
              </w:rPr>
              <w:t>Brak udziału przedstawicieli – konieczne spotkanie z KOSR</w:t>
            </w:r>
          </w:p>
          <w:p w14:paraId="217A112F" w14:textId="62F2027A" w:rsidR="000841CE" w:rsidRDefault="000841CE" w:rsidP="0042202B">
            <w:pPr>
              <w:rPr>
                <w:rFonts w:cstheme="minorHAnsi"/>
                <w:b/>
              </w:rPr>
            </w:pPr>
          </w:p>
          <w:p w14:paraId="700B2A1F" w14:textId="78E0C9CF" w:rsidR="000841CE" w:rsidRPr="00104748" w:rsidRDefault="000841CE" w:rsidP="000841CE">
            <w:pPr>
              <w:rPr>
                <w:rFonts w:cstheme="minorHAnsi"/>
                <w:b/>
                <w:color w:val="0070C0"/>
                <w:u w:val="single"/>
              </w:rPr>
            </w:pPr>
            <w:r w:rsidRPr="00104748">
              <w:rPr>
                <w:rFonts w:cstheme="minorHAnsi"/>
                <w:b/>
                <w:color w:val="0070C0"/>
                <w:u w:val="single"/>
              </w:rPr>
              <w:t>W wyniku roboczego uzgadniania w OSR wprowadzono zmiany zgodnie z uwagami/zapytaniami KORS</w:t>
            </w:r>
            <w:r w:rsidR="00D150F0">
              <w:rPr>
                <w:rFonts w:cstheme="minorHAnsi"/>
                <w:b/>
                <w:color w:val="0070C0"/>
                <w:u w:val="single"/>
              </w:rPr>
              <w:t>.</w:t>
            </w:r>
            <w:r w:rsidRPr="00104748">
              <w:rPr>
                <w:rFonts w:cstheme="minorHAnsi"/>
                <w:b/>
                <w:color w:val="0070C0"/>
                <w:u w:val="single"/>
              </w:rPr>
              <w:t xml:space="preserve"> </w:t>
            </w:r>
          </w:p>
          <w:p w14:paraId="7955EA51" w14:textId="77777777" w:rsidR="000841CE" w:rsidRDefault="000841CE" w:rsidP="0042202B">
            <w:pPr>
              <w:rPr>
                <w:rFonts w:cstheme="minorHAnsi"/>
                <w:b/>
              </w:rPr>
            </w:pPr>
          </w:p>
          <w:p w14:paraId="22F7B0A7" w14:textId="77777777" w:rsidR="003B50B0" w:rsidRDefault="003B50B0" w:rsidP="0042202B">
            <w:pPr>
              <w:rPr>
                <w:rFonts w:cstheme="minorHAnsi"/>
                <w:b/>
              </w:rPr>
            </w:pPr>
          </w:p>
          <w:p w14:paraId="181D9183" w14:textId="17971D8E" w:rsidR="003B50B0" w:rsidRPr="00EE6DC0" w:rsidRDefault="003B50B0" w:rsidP="0042202B">
            <w:pPr>
              <w:rPr>
                <w:rFonts w:cstheme="minorHAnsi"/>
                <w:b/>
              </w:rPr>
            </w:pPr>
          </w:p>
        </w:tc>
      </w:tr>
      <w:tr w:rsidR="0075728B" w:rsidRPr="00F515D6" w14:paraId="60EB67C4" w14:textId="41640E34" w:rsidTr="00D76FE7">
        <w:tc>
          <w:tcPr>
            <w:tcW w:w="562" w:type="dxa"/>
          </w:tcPr>
          <w:p w14:paraId="4719EBF1" w14:textId="77777777" w:rsidR="0075728B" w:rsidRPr="007A5B68" w:rsidRDefault="0075728B" w:rsidP="0042202B">
            <w:pPr>
              <w:rPr>
                <w:rFonts w:cstheme="minorHAnsi"/>
                <w:b/>
              </w:rPr>
            </w:pPr>
            <w:r w:rsidRPr="007A5B68">
              <w:rPr>
                <w:rFonts w:cstheme="minorHAnsi"/>
                <w:b/>
              </w:rPr>
              <w:t>119</w:t>
            </w:r>
          </w:p>
        </w:tc>
        <w:tc>
          <w:tcPr>
            <w:tcW w:w="993" w:type="dxa"/>
          </w:tcPr>
          <w:p w14:paraId="487D4F7F" w14:textId="77777777" w:rsidR="0075728B" w:rsidRPr="007A5B68" w:rsidRDefault="0075728B" w:rsidP="0042202B">
            <w:pPr>
              <w:rPr>
                <w:rFonts w:cstheme="minorHAnsi"/>
                <w:b/>
              </w:rPr>
            </w:pPr>
            <w:r w:rsidRPr="007A5B68">
              <w:rPr>
                <w:rFonts w:cstheme="minorHAnsi"/>
                <w:b/>
              </w:rPr>
              <w:t>KOSR</w:t>
            </w:r>
          </w:p>
        </w:tc>
        <w:tc>
          <w:tcPr>
            <w:tcW w:w="1701" w:type="dxa"/>
          </w:tcPr>
          <w:p w14:paraId="0A5F97E7" w14:textId="224D03BB" w:rsidR="0075728B" w:rsidRPr="007A5B68" w:rsidRDefault="0075728B" w:rsidP="0042202B">
            <w:pPr>
              <w:rPr>
                <w:rFonts w:cstheme="minorHAnsi"/>
                <w:b/>
              </w:rPr>
            </w:pPr>
            <w:r w:rsidRPr="007A5B68">
              <w:rPr>
                <w:rFonts w:cstheme="minorHAnsi"/>
                <w:b/>
              </w:rPr>
              <w:t>Art. 68zh ust. 1 UH</w:t>
            </w:r>
          </w:p>
        </w:tc>
        <w:tc>
          <w:tcPr>
            <w:tcW w:w="5953" w:type="dxa"/>
          </w:tcPr>
          <w:p w14:paraId="391CAC64" w14:textId="6DA0F17E" w:rsidR="0075728B" w:rsidRPr="007A5B68" w:rsidRDefault="0075728B" w:rsidP="0042202B">
            <w:pPr>
              <w:autoSpaceDE w:val="0"/>
              <w:autoSpaceDN w:val="0"/>
              <w:adjustRightInd w:val="0"/>
              <w:rPr>
                <w:rFonts w:cs="Lato-Regular"/>
                <w:b/>
              </w:rPr>
            </w:pPr>
            <w:r w:rsidRPr="007A5B68">
              <w:rPr>
                <w:rFonts w:cs="Lato-Regular"/>
                <w:b/>
              </w:rPr>
              <w:t>Wprowadzono obowiązek przyznawania przez Dyrektora TDT wynagrodzenia dla biegłych i ekspertów według przepisów o kosztach prowadzenia dowodu z opinii biegłego w postępowaniu sądowym. Koszty te ponosi Dyrektor TDT w przypadku, gdy</w:t>
            </w:r>
          </w:p>
          <w:p w14:paraId="363EFAAF" w14:textId="713B7DFD" w:rsidR="0075728B" w:rsidRPr="007A5B68" w:rsidRDefault="0075728B" w:rsidP="0042202B">
            <w:pPr>
              <w:autoSpaceDE w:val="0"/>
              <w:autoSpaceDN w:val="0"/>
              <w:adjustRightInd w:val="0"/>
              <w:rPr>
                <w:rFonts w:cs="Lato-Regular"/>
                <w:b/>
              </w:rPr>
            </w:pPr>
            <w:r w:rsidRPr="007A5B68">
              <w:rPr>
                <w:rFonts w:cs="Lato-Regular"/>
                <w:b/>
              </w:rPr>
              <w:t>nie została wydana decyzja stwierdzająca niezgodność pojazdu, przedmiotu wyposażenia lub części. Należałoby przedstawić skutki tej zmiany w OSR w stosunku do stanu obecnego (obecnej praktyki).</w:t>
            </w:r>
          </w:p>
        </w:tc>
        <w:tc>
          <w:tcPr>
            <w:tcW w:w="3827" w:type="dxa"/>
          </w:tcPr>
          <w:p w14:paraId="2923E3EB" w14:textId="0CA624FE" w:rsidR="0075728B" w:rsidRPr="007A5B68" w:rsidRDefault="0075728B" w:rsidP="0042202B">
            <w:pPr>
              <w:rPr>
                <w:rFonts w:cstheme="minorHAnsi"/>
                <w:b/>
              </w:rPr>
            </w:pPr>
            <w:r>
              <w:rPr>
                <w:rFonts w:cstheme="minorHAnsi"/>
                <w:b/>
              </w:rPr>
              <w:t xml:space="preserve">Uwaga wyjaśniona </w:t>
            </w:r>
            <w:r w:rsidRPr="00EE6DC0">
              <w:rPr>
                <w:rFonts w:cstheme="minorHAnsi"/>
                <w:b/>
              </w:rPr>
              <w:t>–</w:t>
            </w:r>
            <w:r>
              <w:rPr>
                <w:rFonts w:cstheme="minorHAnsi"/>
                <w:b/>
              </w:rPr>
              <w:t xml:space="preserve"> n</w:t>
            </w:r>
            <w:r w:rsidRPr="007A5B68">
              <w:rPr>
                <w:rFonts w:cstheme="minorHAnsi"/>
                <w:b/>
              </w:rPr>
              <w:t>ie ma możliwości przedstawienia skutków zmian w OSR z uwagi na fakt, iż Dyrektor TDT jako organ nadzoru rynku nie ma możliwości powoływania ekspertów na podstawie aktualnych przepisów. Takie uprawnienie będzie wynikało z projektowanego przepisu art. 68zh.</w:t>
            </w:r>
          </w:p>
        </w:tc>
        <w:tc>
          <w:tcPr>
            <w:tcW w:w="3686" w:type="dxa"/>
          </w:tcPr>
          <w:p w14:paraId="124A89C9" w14:textId="77777777" w:rsidR="0075728B" w:rsidRDefault="00657F53" w:rsidP="0042202B">
            <w:pPr>
              <w:rPr>
                <w:rFonts w:cstheme="minorHAnsi"/>
                <w:b/>
              </w:rPr>
            </w:pPr>
            <w:r>
              <w:rPr>
                <w:rFonts w:cstheme="minorHAnsi"/>
                <w:b/>
              </w:rPr>
              <w:t>Brak udziału przedstawicieli – konieczne spotkanie z KOSR</w:t>
            </w:r>
          </w:p>
          <w:p w14:paraId="70A14801" w14:textId="77777777" w:rsidR="003B50B0" w:rsidRDefault="003B50B0" w:rsidP="0042202B">
            <w:pPr>
              <w:rPr>
                <w:rFonts w:cstheme="minorHAnsi"/>
                <w:b/>
              </w:rPr>
            </w:pPr>
          </w:p>
          <w:p w14:paraId="3681C2E6" w14:textId="3AE9AEAF" w:rsidR="003B50B0" w:rsidRDefault="003B50B0" w:rsidP="0042202B">
            <w:pPr>
              <w:rPr>
                <w:rFonts w:cstheme="minorHAnsi"/>
                <w:b/>
              </w:rPr>
            </w:pPr>
            <w:r>
              <w:rPr>
                <w:rFonts w:cs="Lato-Regular"/>
                <w:b/>
                <w:color w:val="0070C0"/>
              </w:rPr>
              <w:t>Uwaga nieaktualna - wykreślono regulacje w zakresie</w:t>
            </w:r>
            <w:r w:rsidR="00297ED7">
              <w:rPr>
                <w:rFonts w:cs="Lato-Regular"/>
                <w:b/>
                <w:color w:val="0070C0"/>
              </w:rPr>
              <w:t xml:space="preserve"> powoływania ekspertów</w:t>
            </w:r>
            <w:r>
              <w:rPr>
                <w:rFonts w:cs="Lato-Regular"/>
                <w:b/>
                <w:color w:val="0070C0"/>
              </w:rPr>
              <w:t xml:space="preserve">. </w:t>
            </w:r>
          </w:p>
        </w:tc>
      </w:tr>
      <w:tr w:rsidR="0075728B" w:rsidRPr="00F515D6" w14:paraId="395A509D" w14:textId="2B1EBB83" w:rsidTr="00D76FE7">
        <w:tc>
          <w:tcPr>
            <w:tcW w:w="562" w:type="dxa"/>
          </w:tcPr>
          <w:p w14:paraId="41F8A94A" w14:textId="77777777" w:rsidR="0075728B" w:rsidRPr="0054534B" w:rsidRDefault="0075728B" w:rsidP="0042202B">
            <w:pPr>
              <w:rPr>
                <w:rFonts w:cstheme="minorHAnsi"/>
                <w:b/>
              </w:rPr>
            </w:pPr>
            <w:r w:rsidRPr="0054534B">
              <w:rPr>
                <w:rFonts w:cstheme="minorHAnsi"/>
                <w:b/>
              </w:rPr>
              <w:t>120</w:t>
            </w:r>
          </w:p>
        </w:tc>
        <w:tc>
          <w:tcPr>
            <w:tcW w:w="993" w:type="dxa"/>
          </w:tcPr>
          <w:p w14:paraId="7B83429D" w14:textId="77777777" w:rsidR="0075728B" w:rsidRPr="0054534B" w:rsidRDefault="0075728B" w:rsidP="0042202B">
            <w:pPr>
              <w:rPr>
                <w:rFonts w:cstheme="minorHAnsi"/>
                <w:b/>
              </w:rPr>
            </w:pPr>
            <w:r w:rsidRPr="0054534B">
              <w:rPr>
                <w:rFonts w:cstheme="minorHAnsi"/>
                <w:b/>
              </w:rPr>
              <w:t>KOSR</w:t>
            </w:r>
          </w:p>
        </w:tc>
        <w:tc>
          <w:tcPr>
            <w:tcW w:w="1701" w:type="dxa"/>
          </w:tcPr>
          <w:p w14:paraId="759F6CDB" w14:textId="77777777" w:rsidR="0075728B" w:rsidRPr="0054534B" w:rsidRDefault="0075728B" w:rsidP="0042202B">
            <w:pPr>
              <w:rPr>
                <w:rFonts w:cstheme="minorHAnsi"/>
                <w:b/>
              </w:rPr>
            </w:pPr>
            <w:r w:rsidRPr="0054534B">
              <w:rPr>
                <w:rFonts w:cstheme="minorHAnsi"/>
                <w:b/>
              </w:rPr>
              <w:t>Pkt 2 i 8 OSR</w:t>
            </w:r>
          </w:p>
        </w:tc>
        <w:tc>
          <w:tcPr>
            <w:tcW w:w="5953" w:type="dxa"/>
          </w:tcPr>
          <w:p w14:paraId="0C6DB34F" w14:textId="77777777" w:rsidR="0075728B" w:rsidRPr="0054534B" w:rsidRDefault="0075728B" w:rsidP="0042202B">
            <w:pPr>
              <w:autoSpaceDE w:val="0"/>
              <w:autoSpaceDN w:val="0"/>
              <w:adjustRightInd w:val="0"/>
              <w:rPr>
                <w:rFonts w:cs="Lato-Regular"/>
                <w:b/>
              </w:rPr>
            </w:pPr>
            <w:r w:rsidRPr="0054534B">
              <w:rPr>
                <w:rFonts w:cs="Lato-Regular"/>
                <w:b/>
              </w:rPr>
              <w:t>W punkcie 2 i 8 OSR należy wskazać, czy i jakie rozwiązania wprowadza projekt , które wykraczają poza rozwiązania wymagane przez wdrożenie przepisów unijnych.</w:t>
            </w:r>
          </w:p>
          <w:p w14:paraId="65306C74" w14:textId="404E06F5" w:rsidR="0075728B" w:rsidRPr="0054534B" w:rsidRDefault="0075728B" w:rsidP="0042202B">
            <w:pPr>
              <w:autoSpaceDE w:val="0"/>
              <w:autoSpaceDN w:val="0"/>
              <w:adjustRightInd w:val="0"/>
              <w:rPr>
                <w:rFonts w:cstheme="minorHAnsi"/>
                <w:b/>
              </w:rPr>
            </w:pPr>
          </w:p>
        </w:tc>
        <w:tc>
          <w:tcPr>
            <w:tcW w:w="3827" w:type="dxa"/>
          </w:tcPr>
          <w:p w14:paraId="0DBD7C68" w14:textId="5CBAEE4E" w:rsidR="0075728B" w:rsidRPr="0054534B" w:rsidRDefault="0075728B" w:rsidP="0042202B">
            <w:pPr>
              <w:rPr>
                <w:rFonts w:cstheme="minorHAnsi"/>
                <w:b/>
              </w:rPr>
            </w:pPr>
            <w:r>
              <w:rPr>
                <w:rFonts w:cstheme="minorHAnsi"/>
                <w:b/>
              </w:rPr>
              <w:t xml:space="preserve">Uwaga uwzględniona. </w:t>
            </w:r>
            <w:r w:rsidRPr="0054534B">
              <w:rPr>
                <w:rFonts w:cstheme="minorHAnsi"/>
                <w:b/>
              </w:rPr>
              <w:t>Uzupełniono OSR w pkt 2 i 8.</w:t>
            </w:r>
          </w:p>
        </w:tc>
        <w:tc>
          <w:tcPr>
            <w:tcW w:w="3686" w:type="dxa"/>
          </w:tcPr>
          <w:p w14:paraId="77B5D795" w14:textId="77777777" w:rsidR="0075728B" w:rsidRDefault="00657F53" w:rsidP="0042202B">
            <w:pPr>
              <w:rPr>
                <w:rFonts w:cstheme="minorHAnsi"/>
                <w:b/>
              </w:rPr>
            </w:pPr>
            <w:r>
              <w:rPr>
                <w:rFonts w:cstheme="minorHAnsi"/>
                <w:b/>
              </w:rPr>
              <w:t>Brak udziału przedstawicieli – konieczne spotkanie z KOSR</w:t>
            </w:r>
          </w:p>
          <w:p w14:paraId="19FFA6AC" w14:textId="77777777" w:rsidR="003B50B0" w:rsidRDefault="003B50B0" w:rsidP="0042202B">
            <w:pPr>
              <w:rPr>
                <w:rFonts w:cstheme="minorHAnsi"/>
                <w:b/>
              </w:rPr>
            </w:pPr>
          </w:p>
          <w:p w14:paraId="7FA9D5BE" w14:textId="5DDEC995" w:rsidR="000841CE" w:rsidRPr="00104748" w:rsidRDefault="000841CE" w:rsidP="000841CE">
            <w:pPr>
              <w:rPr>
                <w:rFonts w:cstheme="minorHAnsi"/>
                <w:b/>
                <w:color w:val="0070C0"/>
                <w:u w:val="single"/>
              </w:rPr>
            </w:pPr>
            <w:r w:rsidRPr="00104748">
              <w:rPr>
                <w:rFonts w:cstheme="minorHAnsi"/>
                <w:b/>
                <w:color w:val="0070C0"/>
                <w:u w:val="single"/>
              </w:rPr>
              <w:t>W wyniku roboczego uzgadniania w OSR wprowadzono zmiany zgodnie z uwagami/zapytaniami KORS</w:t>
            </w:r>
            <w:r w:rsidR="00D150F0">
              <w:rPr>
                <w:rFonts w:cstheme="minorHAnsi"/>
                <w:b/>
                <w:color w:val="0070C0"/>
                <w:u w:val="single"/>
              </w:rPr>
              <w:t xml:space="preserve">. </w:t>
            </w:r>
          </w:p>
          <w:p w14:paraId="550C4EC8" w14:textId="775BDB79" w:rsidR="000841CE" w:rsidRDefault="000841CE" w:rsidP="0042202B">
            <w:pPr>
              <w:rPr>
                <w:rFonts w:cstheme="minorHAnsi"/>
                <w:b/>
              </w:rPr>
            </w:pPr>
          </w:p>
        </w:tc>
      </w:tr>
      <w:tr w:rsidR="0075728B" w:rsidRPr="00F515D6" w14:paraId="5E3A0A77" w14:textId="54371F5A" w:rsidTr="00D76FE7">
        <w:tc>
          <w:tcPr>
            <w:tcW w:w="562" w:type="dxa"/>
          </w:tcPr>
          <w:p w14:paraId="58D35EAA" w14:textId="77777777" w:rsidR="0075728B" w:rsidRPr="00C7260E" w:rsidRDefault="0075728B" w:rsidP="0042202B">
            <w:pPr>
              <w:rPr>
                <w:rFonts w:cstheme="minorHAnsi"/>
                <w:b/>
              </w:rPr>
            </w:pPr>
            <w:r w:rsidRPr="00C7260E">
              <w:rPr>
                <w:rFonts w:cstheme="minorHAnsi"/>
                <w:b/>
              </w:rPr>
              <w:t>121</w:t>
            </w:r>
          </w:p>
        </w:tc>
        <w:tc>
          <w:tcPr>
            <w:tcW w:w="993" w:type="dxa"/>
          </w:tcPr>
          <w:p w14:paraId="3FE39279" w14:textId="77777777" w:rsidR="0075728B" w:rsidRPr="00C7260E" w:rsidRDefault="0075728B" w:rsidP="0042202B">
            <w:pPr>
              <w:rPr>
                <w:rFonts w:cstheme="minorHAnsi"/>
                <w:b/>
              </w:rPr>
            </w:pPr>
            <w:r w:rsidRPr="00C7260E">
              <w:rPr>
                <w:rFonts w:cstheme="minorHAnsi"/>
                <w:b/>
              </w:rPr>
              <w:t>KOSR</w:t>
            </w:r>
          </w:p>
        </w:tc>
        <w:tc>
          <w:tcPr>
            <w:tcW w:w="1701" w:type="dxa"/>
          </w:tcPr>
          <w:p w14:paraId="18770952" w14:textId="77777777" w:rsidR="0075728B" w:rsidRPr="00C7260E" w:rsidRDefault="0075728B" w:rsidP="0042202B">
            <w:pPr>
              <w:rPr>
                <w:rFonts w:cstheme="minorHAnsi"/>
                <w:b/>
              </w:rPr>
            </w:pPr>
            <w:r w:rsidRPr="00C7260E">
              <w:rPr>
                <w:rFonts w:cstheme="minorHAnsi"/>
                <w:b/>
              </w:rPr>
              <w:t>OSR - ewaluacja</w:t>
            </w:r>
          </w:p>
        </w:tc>
        <w:tc>
          <w:tcPr>
            <w:tcW w:w="5953" w:type="dxa"/>
          </w:tcPr>
          <w:p w14:paraId="73DCA8A9" w14:textId="378B2474" w:rsidR="0075728B" w:rsidRPr="00C7260E" w:rsidRDefault="0075728B" w:rsidP="0042202B">
            <w:pPr>
              <w:autoSpaceDE w:val="0"/>
              <w:autoSpaceDN w:val="0"/>
              <w:adjustRightInd w:val="0"/>
              <w:rPr>
                <w:rFonts w:cs="Lato-Regular"/>
                <w:b/>
              </w:rPr>
            </w:pPr>
            <w:r w:rsidRPr="00C7260E">
              <w:rPr>
                <w:rFonts w:cs="Lato-Regular"/>
                <w:b/>
              </w:rPr>
              <w:t>Warto objąć ewaluacją także zmiany dotyczące hulajnóg oraz akcje serwisowe. Rekomendowane jest przeprowadzenie ewaluacji wysokości opłat za nadzór nad rynkiem motoryzacyjnym po 2 latach, aby sprawdzić, czy ich wysokość nie jest nadmierna.</w:t>
            </w:r>
          </w:p>
        </w:tc>
        <w:tc>
          <w:tcPr>
            <w:tcW w:w="3827" w:type="dxa"/>
          </w:tcPr>
          <w:p w14:paraId="611BEA74" w14:textId="504E7A60" w:rsidR="0075728B" w:rsidRDefault="0075728B" w:rsidP="0042202B">
            <w:pPr>
              <w:rPr>
                <w:rFonts w:cstheme="minorHAnsi"/>
                <w:b/>
              </w:rPr>
            </w:pPr>
            <w:r w:rsidRPr="00C7260E">
              <w:rPr>
                <w:rFonts w:cstheme="minorHAnsi"/>
                <w:b/>
              </w:rPr>
              <w:t xml:space="preserve">Uwaga uwzględniona </w:t>
            </w:r>
            <w:r w:rsidR="00297ED7">
              <w:rPr>
                <w:rFonts w:cstheme="minorHAnsi"/>
                <w:b/>
              </w:rPr>
              <w:t xml:space="preserve">w OSR </w:t>
            </w:r>
            <w:r w:rsidRPr="00C7260E">
              <w:rPr>
                <w:rFonts w:cstheme="minorHAnsi"/>
                <w:b/>
              </w:rPr>
              <w:t xml:space="preserve">w zakresie ujęcia w ewaluacji również hulajnóg elektrycznych i akcji serwisowych. </w:t>
            </w:r>
          </w:p>
          <w:p w14:paraId="04A7B11D" w14:textId="77777777" w:rsidR="0075728B" w:rsidRDefault="0075728B" w:rsidP="0042202B">
            <w:pPr>
              <w:rPr>
                <w:rFonts w:cstheme="minorHAnsi"/>
                <w:b/>
              </w:rPr>
            </w:pPr>
          </w:p>
          <w:p w14:paraId="67F061B2" w14:textId="77777777" w:rsidR="0075728B" w:rsidRDefault="0075728B" w:rsidP="0042202B">
            <w:pPr>
              <w:rPr>
                <w:rFonts w:cstheme="minorHAnsi"/>
                <w:b/>
              </w:rPr>
            </w:pPr>
            <w:r>
              <w:rPr>
                <w:rFonts w:cstheme="minorHAnsi"/>
                <w:b/>
              </w:rPr>
              <w:t xml:space="preserve">Uwaga w zakresie ewaluacji dotycząca opłaty za nadzór rynku nieuwzględniona w zakresie 2 lat  – należy zauważyć, iż pełne koszty działania Dyrektora TDT jako organu nadzoru rynku będą możliwe do określenia dopiero po 5 roku obowiązywania przepisów ustawy w tym zakresie, gdyż dopiero po tym czasie zostanie osiągnięta docelowa liczba pracowników organu nadzoru rynku. Zatem w tym momencie możliwe będzie określenie całości kosztów w tym obszarze działania Dyrektora TDT. Planowana ewaluacja po 3 latach pozwoli na ocenę wysokości ustalonej stawki w kontekście wpływów i wydatków po stronie TDT, ewentualnego przeznaczenia środków z nadwyżki, i nie jest zasadne skracanie tego okresu do 2 lat, z uwagi na to, że tak wcześnie nie będzie możliwe ustalenie chociażby liczby wydawanych przez Dyrektora TDT decyzji o wycofaniu pojazdu z obrotu lub rynku, ze względu na trudny do określenia czas realizacji postępowań w tym zakresie (czas badań, kontroli, postępowanie w I i II instancji). </w:t>
            </w:r>
          </w:p>
          <w:p w14:paraId="733F4B56" w14:textId="489E33D8" w:rsidR="0075728B" w:rsidRPr="0093768C" w:rsidRDefault="0075728B" w:rsidP="0042202B">
            <w:pPr>
              <w:rPr>
                <w:rFonts w:cstheme="minorHAnsi"/>
                <w:b/>
              </w:rPr>
            </w:pPr>
            <w:r>
              <w:rPr>
                <w:rFonts w:cstheme="minorHAnsi"/>
                <w:b/>
              </w:rPr>
              <w:t xml:space="preserve">Ewaluacją objęta zostanie również planowana w OSR liczba zatrudnienia w ramach nadzoru rynku pod kątem oceny, czy jest wystarczająca na kompleksową i skuteczną realizację zadań w tym obszarze. </w:t>
            </w:r>
          </w:p>
        </w:tc>
        <w:tc>
          <w:tcPr>
            <w:tcW w:w="3686" w:type="dxa"/>
          </w:tcPr>
          <w:p w14:paraId="4B471B7C" w14:textId="77777777" w:rsidR="0075728B" w:rsidRDefault="00657F53" w:rsidP="0042202B">
            <w:pPr>
              <w:rPr>
                <w:rFonts w:cstheme="minorHAnsi"/>
                <w:b/>
              </w:rPr>
            </w:pPr>
            <w:r>
              <w:rPr>
                <w:rFonts w:cstheme="minorHAnsi"/>
                <w:b/>
              </w:rPr>
              <w:t>Brak udziału przedstawicieli – konieczne spotkanie z KOSR</w:t>
            </w:r>
          </w:p>
          <w:p w14:paraId="6157609D" w14:textId="3179E23F" w:rsidR="003B50B0" w:rsidRDefault="003B50B0" w:rsidP="0042202B">
            <w:pPr>
              <w:rPr>
                <w:rFonts w:cstheme="minorHAnsi"/>
                <w:b/>
              </w:rPr>
            </w:pPr>
          </w:p>
          <w:p w14:paraId="2BE9470E" w14:textId="2F57B875" w:rsidR="000841CE" w:rsidRDefault="000841CE" w:rsidP="0042202B">
            <w:pPr>
              <w:rPr>
                <w:rFonts w:cstheme="minorHAnsi"/>
                <w:b/>
              </w:rPr>
            </w:pPr>
          </w:p>
          <w:p w14:paraId="534C2836" w14:textId="57ACE699" w:rsidR="000841CE" w:rsidRDefault="000841CE" w:rsidP="00D150F0">
            <w:pPr>
              <w:rPr>
                <w:rFonts w:cstheme="minorHAnsi"/>
                <w:b/>
              </w:rPr>
            </w:pPr>
            <w:r w:rsidRPr="00104748">
              <w:rPr>
                <w:rFonts w:cstheme="minorHAnsi"/>
                <w:b/>
                <w:color w:val="0070C0"/>
                <w:u w:val="single"/>
              </w:rPr>
              <w:t>W wyniku roboczego uzgadniania w OSR wprowadzono zmiany zgodnie z uwagami/zapytaniami KORS</w:t>
            </w:r>
            <w:r w:rsidR="00D150F0">
              <w:rPr>
                <w:rFonts w:cstheme="minorHAnsi"/>
                <w:b/>
                <w:color w:val="0070C0"/>
                <w:u w:val="single"/>
              </w:rPr>
              <w:t>.</w:t>
            </w:r>
          </w:p>
          <w:p w14:paraId="61BAB196" w14:textId="5CFC4598" w:rsidR="003B50B0" w:rsidRPr="00C7260E" w:rsidRDefault="003B50B0" w:rsidP="0042202B">
            <w:pPr>
              <w:rPr>
                <w:rFonts w:cstheme="minorHAnsi"/>
                <w:b/>
              </w:rPr>
            </w:pPr>
          </w:p>
        </w:tc>
      </w:tr>
      <w:tr w:rsidR="0075728B" w:rsidRPr="00F515D6" w14:paraId="4DC5B743" w14:textId="523BA4ED" w:rsidTr="00D76FE7">
        <w:tc>
          <w:tcPr>
            <w:tcW w:w="562" w:type="dxa"/>
          </w:tcPr>
          <w:p w14:paraId="73B06A8B" w14:textId="0EB62708" w:rsidR="0075728B" w:rsidRPr="00EE6DC0" w:rsidRDefault="0075728B" w:rsidP="0042202B">
            <w:pPr>
              <w:rPr>
                <w:rFonts w:cstheme="minorHAnsi"/>
                <w:b/>
              </w:rPr>
            </w:pPr>
            <w:r w:rsidRPr="00EE6DC0">
              <w:rPr>
                <w:rFonts w:cstheme="minorHAnsi"/>
                <w:b/>
              </w:rPr>
              <w:t>122</w:t>
            </w:r>
          </w:p>
        </w:tc>
        <w:tc>
          <w:tcPr>
            <w:tcW w:w="993" w:type="dxa"/>
          </w:tcPr>
          <w:p w14:paraId="301577CF" w14:textId="77777777" w:rsidR="0075728B" w:rsidRDefault="0075728B" w:rsidP="0042202B">
            <w:pPr>
              <w:rPr>
                <w:rFonts w:cstheme="minorHAnsi"/>
                <w:b/>
              </w:rPr>
            </w:pPr>
            <w:r w:rsidRPr="00EE6DC0">
              <w:rPr>
                <w:rFonts w:cstheme="minorHAnsi"/>
                <w:b/>
              </w:rPr>
              <w:t>MS</w:t>
            </w:r>
          </w:p>
          <w:p w14:paraId="5C69AA5C" w14:textId="77777777" w:rsidR="0075728B" w:rsidRDefault="0075728B" w:rsidP="0042202B">
            <w:pPr>
              <w:rPr>
                <w:rFonts w:cstheme="minorHAnsi"/>
                <w:b/>
                <w:color w:val="00B050"/>
              </w:rPr>
            </w:pPr>
            <w:r>
              <w:rPr>
                <w:rFonts w:cstheme="minorHAnsi"/>
                <w:b/>
                <w:color w:val="00B050"/>
              </w:rPr>
              <w:t>+ uwaga 4 RCL</w:t>
            </w:r>
          </w:p>
          <w:p w14:paraId="3B8E5772" w14:textId="77777777" w:rsidR="0075728B" w:rsidRDefault="0075728B" w:rsidP="0042202B">
            <w:pPr>
              <w:rPr>
                <w:rFonts w:cstheme="minorHAnsi"/>
                <w:b/>
                <w:color w:val="00B050"/>
              </w:rPr>
            </w:pPr>
          </w:p>
          <w:p w14:paraId="51F4453D" w14:textId="768CC0DB" w:rsidR="0075728B" w:rsidRPr="00EE6DC0" w:rsidRDefault="0075728B" w:rsidP="0042202B">
            <w:pPr>
              <w:rPr>
                <w:rFonts w:cstheme="minorHAnsi"/>
                <w:b/>
              </w:rPr>
            </w:pPr>
            <w:r>
              <w:rPr>
                <w:rFonts w:cstheme="minorHAnsi"/>
                <w:b/>
                <w:color w:val="00B050"/>
              </w:rPr>
              <w:t>+ uwaga 43 MC</w:t>
            </w:r>
          </w:p>
        </w:tc>
        <w:tc>
          <w:tcPr>
            <w:tcW w:w="1701" w:type="dxa"/>
          </w:tcPr>
          <w:p w14:paraId="231120FC" w14:textId="6C0FC45E" w:rsidR="0075728B" w:rsidRPr="00EE6DC0" w:rsidRDefault="0075728B" w:rsidP="0042202B">
            <w:pPr>
              <w:rPr>
                <w:rFonts w:cstheme="minorHAnsi"/>
                <w:b/>
              </w:rPr>
            </w:pPr>
            <w:r w:rsidRPr="00EE6DC0">
              <w:rPr>
                <w:rFonts w:cstheme="minorHAnsi"/>
                <w:b/>
              </w:rPr>
              <w:t xml:space="preserve">Art. 3 ust. 4 UH </w:t>
            </w:r>
          </w:p>
        </w:tc>
        <w:tc>
          <w:tcPr>
            <w:tcW w:w="5953" w:type="dxa"/>
          </w:tcPr>
          <w:p w14:paraId="3FE95860" w14:textId="77777777" w:rsidR="0075728B" w:rsidRPr="00EE6DC0" w:rsidRDefault="0075728B" w:rsidP="0042202B">
            <w:pPr>
              <w:rPr>
                <w:rFonts w:cs="Lato-Regular"/>
                <w:b/>
              </w:rPr>
            </w:pPr>
            <w:r w:rsidRPr="00EE6DC0">
              <w:rPr>
                <w:rFonts w:cs="Lato-Regular"/>
                <w:b/>
              </w:rPr>
              <w:t>Zgodnie z projektowanym przepisem organy administracji rządowej (w tym również Minister Sprawiedliwości) i samorządowej, państwowe osoby prawne oraz państwowe i samorządowe jednostki organizacyjne będą zobowiązane do współdziałania z Dyrektorem TDT, nieodpłatnego udostępniania mu informacji w sprawach indywidualnych oraz do udzielania pomocy, w tym pomocy technicznej, przy wykonywaniu jego ustawowych zadań.</w:t>
            </w:r>
          </w:p>
          <w:p w14:paraId="632B25A2" w14:textId="3042568A" w:rsidR="0075728B" w:rsidRPr="0093768C" w:rsidRDefault="0075728B" w:rsidP="0042202B">
            <w:pPr>
              <w:rPr>
                <w:rFonts w:cs="Lato-Regular"/>
                <w:b/>
              </w:rPr>
            </w:pPr>
            <w:r w:rsidRPr="00EE6DC0">
              <w:rPr>
                <w:rFonts w:cs="Lato-Regular"/>
                <w:b/>
              </w:rPr>
              <w:t>Należy jednak podkreślić, że obowiązek współdziałania został zakreślony w sposób niezwykle szeroki i niedookreślony. Mając na względzie zasadę legalizmu, zasadne jest doprecyzowanie omawianego przepisu poprzez wskazanie, iż wspomniane podmioty współdziałają z Dyrektorem TDT wyłącznie w zakresie swojej właściwości. Ponadto, obowiązek udzielania pomocy – w tym pomocy technicznej – przy wykonywaniu jego zadań ustawowych powinien być realizowany z uwzględnieniem realnych możliwości organizacyjnych i finansowych tych podmiotów.</w:t>
            </w:r>
          </w:p>
        </w:tc>
        <w:tc>
          <w:tcPr>
            <w:tcW w:w="3827" w:type="dxa"/>
          </w:tcPr>
          <w:p w14:paraId="5B810A4D" w14:textId="77777777" w:rsidR="0075728B" w:rsidRDefault="0075728B" w:rsidP="0042202B">
            <w:pPr>
              <w:rPr>
                <w:rFonts w:cstheme="minorHAnsi"/>
                <w:b/>
              </w:rPr>
            </w:pPr>
            <w:r w:rsidRPr="00EE6DC0">
              <w:rPr>
                <w:rFonts w:cstheme="minorHAnsi"/>
                <w:b/>
              </w:rPr>
              <w:t>Uwaga uwzględniona – zmieniono przepis</w:t>
            </w:r>
            <w:r>
              <w:rPr>
                <w:rFonts w:cstheme="minorHAnsi"/>
                <w:b/>
              </w:rPr>
              <w:t xml:space="preserve"> zgodnie z propozycją MS. </w:t>
            </w:r>
          </w:p>
          <w:p w14:paraId="24A64BA6" w14:textId="77777777" w:rsidR="0075728B" w:rsidRDefault="0075728B" w:rsidP="0042202B">
            <w:pPr>
              <w:rPr>
                <w:rFonts w:cstheme="minorHAnsi"/>
                <w:b/>
              </w:rPr>
            </w:pPr>
          </w:p>
          <w:p w14:paraId="1AB0F301" w14:textId="36F72EBD" w:rsidR="0075728B" w:rsidRPr="000D521E" w:rsidRDefault="0075728B" w:rsidP="0042202B">
            <w:pPr>
              <w:pStyle w:val="ZLITUSTzmustliter"/>
              <w:spacing w:line="240" w:lineRule="auto"/>
              <w:ind w:left="0" w:firstLine="0"/>
              <w:jc w:val="left"/>
              <w:rPr>
                <w:rFonts w:asciiTheme="minorHAnsi" w:eastAsiaTheme="minorHAnsi" w:hAnsiTheme="minorHAnsi" w:cstheme="minorHAnsi"/>
                <w:b/>
                <w:bCs w:val="0"/>
                <w:i/>
                <w:sz w:val="22"/>
                <w:szCs w:val="22"/>
                <w:lang w:eastAsia="en-US"/>
              </w:rPr>
            </w:pPr>
            <w:r w:rsidRPr="000D521E">
              <w:rPr>
                <w:rFonts w:asciiTheme="minorHAnsi" w:eastAsiaTheme="minorHAnsi" w:hAnsiTheme="minorHAnsi" w:cstheme="minorHAnsi"/>
                <w:b/>
                <w:bCs w:val="0"/>
                <w:i/>
                <w:sz w:val="22"/>
                <w:szCs w:val="22"/>
                <w:lang w:eastAsia="en-US"/>
              </w:rPr>
              <w:t>„4. Organy administracji rządowej i samorządowej, państwowe osoby prawne oraz państwowe i samorządowe jednostki organizacyjne są obowiązane współdziałać z Dyrektorem TDT wyłącznie w zakresie swojej właściwości, nieodpłatnie udostępniać Dyrektorowi TDT informacje w sprawach indywidualnych oraz udzielać mu pomocy, w tym pomocy technicznej przy wykonywaniu jego zadań wynikających z ustawy, z uwzględnieniem realnych możliwości organizacyjnych i finansowych tych podmiotów.”</w:t>
            </w:r>
          </w:p>
          <w:p w14:paraId="094F99A3" w14:textId="00750750" w:rsidR="0075728B" w:rsidRPr="00EE6DC0" w:rsidRDefault="0075728B" w:rsidP="0042202B">
            <w:pPr>
              <w:rPr>
                <w:rFonts w:cstheme="minorHAnsi"/>
                <w:b/>
              </w:rPr>
            </w:pPr>
          </w:p>
        </w:tc>
        <w:tc>
          <w:tcPr>
            <w:tcW w:w="3686" w:type="dxa"/>
          </w:tcPr>
          <w:p w14:paraId="55330558" w14:textId="11E8D212" w:rsidR="0075728B" w:rsidRPr="00EE6DC0" w:rsidRDefault="00657F53" w:rsidP="0042202B">
            <w:pPr>
              <w:rPr>
                <w:rFonts w:cstheme="minorHAnsi"/>
                <w:b/>
              </w:rPr>
            </w:pPr>
            <w:r>
              <w:rPr>
                <w:rFonts w:cstheme="minorHAnsi"/>
                <w:b/>
              </w:rPr>
              <w:t xml:space="preserve">Brak udziału przedstawicieli </w:t>
            </w:r>
            <w:r w:rsidR="00DC3286">
              <w:rPr>
                <w:rFonts w:cstheme="minorHAnsi"/>
                <w:b/>
              </w:rPr>
              <w:t>MS</w:t>
            </w:r>
          </w:p>
        </w:tc>
      </w:tr>
      <w:tr w:rsidR="0075728B" w:rsidRPr="00C64601" w14:paraId="5FB0C3AA" w14:textId="2160D45E" w:rsidTr="00D76FE7">
        <w:tc>
          <w:tcPr>
            <w:tcW w:w="562" w:type="dxa"/>
          </w:tcPr>
          <w:p w14:paraId="35147642" w14:textId="2896B910" w:rsidR="0075728B" w:rsidRPr="006A140B" w:rsidRDefault="0075728B" w:rsidP="0042202B">
            <w:pPr>
              <w:rPr>
                <w:rFonts w:cstheme="minorHAnsi"/>
                <w:b/>
              </w:rPr>
            </w:pPr>
            <w:r w:rsidRPr="006A140B">
              <w:rPr>
                <w:rFonts w:cstheme="minorHAnsi"/>
                <w:b/>
              </w:rPr>
              <w:t>123</w:t>
            </w:r>
          </w:p>
        </w:tc>
        <w:tc>
          <w:tcPr>
            <w:tcW w:w="993" w:type="dxa"/>
          </w:tcPr>
          <w:p w14:paraId="7AE6624A" w14:textId="77777777" w:rsidR="0075728B" w:rsidRDefault="0075728B" w:rsidP="0042202B">
            <w:pPr>
              <w:rPr>
                <w:rFonts w:cstheme="minorHAnsi"/>
                <w:b/>
              </w:rPr>
            </w:pPr>
            <w:r w:rsidRPr="006A140B">
              <w:rPr>
                <w:rFonts w:cstheme="minorHAnsi"/>
                <w:b/>
              </w:rPr>
              <w:t>MSZ (opinia ds.UE)</w:t>
            </w:r>
          </w:p>
          <w:p w14:paraId="3ACA9B7B" w14:textId="77777777" w:rsidR="0075728B" w:rsidRDefault="0075728B" w:rsidP="0042202B">
            <w:pPr>
              <w:rPr>
                <w:rFonts w:cstheme="minorHAnsi"/>
                <w:b/>
              </w:rPr>
            </w:pPr>
          </w:p>
          <w:p w14:paraId="6D09918C" w14:textId="4705C147" w:rsidR="0075728B" w:rsidRPr="00180461" w:rsidRDefault="0075728B" w:rsidP="0042202B">
            <w:pPr>
              <w:rPr>
                <w:rFonts w:cstheme="minorHAnsi"/>
                <w:b/>
                <w:color w:val="00B050"/>
              </w:rPr>
            </w:pPr>
            <w:r>
              <w:rPr>
                <w:rFonts w:cstheme="minorHAnsi"/>
                <w:b/>
                <w:color w:val="00B050"/>
              </w:rPr>
              <w:t>+ uwaga 23 RCL</w:t>
            </w:r>
          </w:p>
        </w:tc>
        <w:tc>
          <w:tcPr>
            <w:tcW w:w="1701" w:type="dxa"/>
          </w:tcPr>
          <w:p w14:paraId="2321A451" w14:textId="33F6FE8A" w:rsidR="0075728B" w:rsidRPr="006A140B" w:rsidRDefault="0075728B" w:rsidP="0042202B">
            <w:pPr>
              <w:rPr>
                <w:rFonts w:cstheme="minorHAnsi"/>
                <w:b/>
              </w:rPr>
            </w:pPr>
            <w:r w:rsidRPr="006A140B">
              <w:rPr>
                <w:rFonts w:cstheme="minorHAnsi"/>
                <w:b/>
              </w:rPr>
              <w:t>Art. 68a ust. 5 pkt 2 i art. 10 UH</w:t>
            </w:r>
          </w:p>
        </w:tc>
        <w:tc>
          <w:tcPr>
            <w:tcW w:w="5953" w:type="dxa"/>
          </w:tcPr>
          <w:p w14:paraId="281D26CC" w14:textId="52EB8BFE" w:rsidR="0075728B" w:rsidRPr="006A140B" w:rsidRDefault="0075728B" w:rsidP="0042202B">
            <w:pPr>
              <w:autoSpaceDE w:val="0"/>
              <w:autoSpaceDN w:val="0"/>
              <w:adjustRightInd w:val="0"/>
              <w:rPr>
                <w:rFonts w:cstheme="minorHAnsi"/>
                <w:b/>
              </w:rPr>
            </w:pPr>
            <w:r w:rsidRPr="006A140B">
              <w:rPr>
                <w:rFonts w:cstheme="minorHAnsi"/>
                <w:b/>
              </w:rPr>
              <w:t>Projekt służy zapewnieniu zgodności ustawy o systemach homologacji pojazdów oraz ich wyposażenia z wyrokiem Trybunału Sprawiedliwości UE w sprawie C-513/15 „Agrodetalė” UAB. Trybunał orzekł, że wprowadzenie do użytku i zarejestrowanie w państwie członkowskim używanych ciągników przywiezionych z państwa trzeciego jest uzależnione od spełnienia wymogów technicznych przewidzianych w dyrektywie 2003/37/WE (zastąpionej obecnie rozporządzeniem 167/2013).</w:t>
            </w:r>
          </w:p>
          <w:p w14:paraId="09A2D740" w14:textId="6383292E" w:rsidR="0075728B" w:rsidRPr="006A140B" w:rsidRDefault="0075728B" w:rsidP="0042202B">
            <w:pPr>
              <w:autoSpaceDE w:val="0"/>
              <w:autoSpaceDN w:val="0"/>
              <w:adjustRightInd w:val="0"/>
              <w:rPr>
                <w:rFonts w:cstheme="minorHAnsi"/>
                <w:b/>
              </w:rPr>
            </w:pPr>
            <w:r w:rsidRPr="006A140B">
              <w:rPr>
                <w:rFonts w:cstheme="minorHAnsi"/>
                <w:b/>
              </w:rPr>
              <w:t>Wykonaniu wyroku służy zasadniczo projektowany art. 68a ust. 5 pkt 2 ustawy o systemach homologacji pojazdów oraz ich wyposażenia (art. 1 pkt 10 projektu), zgodnie z którym krajowemu indywidualnemu dopuszczeniu nowego pojazdu podlega ciągnik rolniczy, który: a) nie jest nowym pojazdem, b) nie był zarejestrowany lub wykorzystywany na terytorium Unii Europejskiej, c) nie posiada ważnych dokumentów potwierdzających spełnienie odpowiednich wymagań technicznych obowiązujących w procedurze homologacji typu UE pojazdu, typu ONZ albo typu pojazdu.</w:t>
            </w:r>
          </w:p>
          <w:p w14:paraId="472EDB64" w14:textId="6898CAC4" w:rsidR="0075728B" w:rsidRPr="006A140B" w:rsidRDefault="0075728B" w:rsidP="0042202B">
            <w:pPr>
              <w:autoSpaceDE w:val="0"/>
              <w:autoSpaceDN w:val="0"/>
              <w:adjustRightInd w:val="0"/>
              <w:rPr>
                <w:rFonts w:cstheme="minorHAnsi"/>
                <w:b/>
              </w:rPr>
            </w:pPr>
            <w:r w:rsidRPr="006A140B">
              <w:rPr>
                <w:rFonts w:cstheme="minorHAnsi"/>
                <w:b/>
              </w:rPr>
              <w:t xml:space="preserve">Należy jednak zwrócić uwagę, że zgodnie z art. 10 ust. 2 projektu, w przypadku postępowań zakończonych przed dniem wejścia w życie ustawy wydaniem decyzji ostatecznej w sprawie stwierdzenia nieważności decyzji o rejestracji ciągnika rolniczego, można żądać, w terminie 6 miesięcy od dnia wejścia w życie ustawy, wznowienia postępowania po wejściu w życie ustawy, na podstawie ust. 1. </w:t>
            </w:r>
          </w:p>
          <w:p w14:paraId="2BA76F60" w14:textId="24A7AD01" w:rsidR="0075728B" w:rsidRPr="006A140B" w:rsidRDefault="0075728B" w:rsidP="0042202B">
            <w:pPr>
              <w:autoSpaceDE w:val="0"/>
              <w:autoSpaceDN w:val="0"/>
              <w:adjustRightInd w:val="0"/>
              <w:rPr>
                <w:rFonts w:cstheme="minorHAnsi"/>
                <w:b/>
              </w:rPr>
            </w:pPr>
            <w:r w:rsidRPr="006A140B">
              <w:rPr>
                <w:rFonts w:cstheme="minorHAnsi"/>
                <w:b/>
              </w:rPr>
              <w:t>W art. 10 ust. 1, do którego odsyła wspomniany art. 10 ust. 2, przewidziano z kolei procedurę automatycznego uznania dopuszczenia ciągników rolniczych, w przypadku których (wbrew wyrokowi w sprawie C-513/15) nie przeprowadzono przed dniem wejścia w życie projektowanej ustawy procedury krajowego indywidualnego dopuszczenia nowego pojazdu.</w:t>
            </w:r>
          </w:p>
          <w:p w14:paraId="056F4BD6" w14:textId="709C490B" w:rsidR="0075728B" w:rsidRPr="006A140B" w:rsidRDefault="0075728B" w:rsidP="0042202B">
            <w:pPr>
              <w:autoSpaceDE w:val="0"/>
              <w:autoSpaceDN w:val="0"/>
              <w:adjustRightInd w:val="0"/>
              <w:rPr>
                <w:rFonts w:cstheme="minorHAnsi"/>
                <w:b/>
              </w:rPr>
            </w:pPr>
            <w:r w:rsidRPr="006A140B">
              <w:rPr>
                <w:rFonts w:cstheme="minorHAnsi"/>
                <w:b/>
              </w:rPr>
              <w:t>Przepis art. 10 ust. 2 projektu pozwala zatem na wznowienie postępowań zakończonych wydaniem, zgodnie z wyrokiem w sprawie C-513/15, decyzji w sprawie stwierdzenia nieważności decyzji o rejestracji ciągnika rolniczego, a następnie zastosowanie w ich przypadku przewidzianej w art. 10 ust. 1 procedury automatycznego dopuszczenia.</w:t>
            </w:r>
          </w:p>
          <w:p w14:paraId="5D07E4EF" w14:textId="0FF2C774" w:rsidR="0075728B" w:rsidRPr="006A140B" w:rsidRDefault="0075728B" w:rsidP="0042202B">
            <w:pPr>
              <w:autoSpaceDE w:val="0"/>
              <w:autoSpaceDN w:val="0"/>
              <w:adjustRightInd w:val="0"/>
              <w:rPr>
                <w:rFonts w:cstheme="minorHAnsi"/>
                <w:b/>
              </w:rPr>
            </w:pPr>
            <w:r w:rsidRPr="006A140B">
              <w:rPr>
                <w:rFonts w:cstheme="minorHAnsi"/>
                <w:b/>
              </w:rPr>
              <w:t>Stosowanie tego przepisu doprowadzi do obejścia projektowanych przepisów wymagających spełnienie przez omawiane pojazdy wymogów technicznych wynikających z procedury krajowego indywidualnego dopuszczenia pojazdów.</w:t>
            </w:r>
          </w:p>
          <w:p w14:paraId="5CA98606" w14:textId="2893D53E" w:rsidR="0075728B" w:rsidRPr="006A140B" w:rsidRDefault="0075728B" w:rsidP="0042202B">
            <w:pPr>
              <w:autoSpaceDE w:val="0"/>
              <w:autoSpaceDN w:val="0"/>
              <w:adjustRightInd w:val="0"/>
              <w:rPr>
                <w:rFonts w:cstheme="minorHAnsi"/>
                <w:b/>
              </w:rPr>
            </w:pPr>
            <w:r w:rsidRPr="006A140B">
              <w:rPr>
                <w:rFonts w:cstheme="minorHAnsi"/>
                <w:b/>
              </w:rPr>
              <w:t>Taki rezultat należy uznać za sprzeczny z wyrokiem w sprawie C-513/15 oraz rozporządzeniem 167/2013.</w:t>
            </w:r>
          </w:p>
        </w:tc>
        <w:tc>
          <w:tcPr>
            <w:tcW w:w="3827" w:type="dxa"/>
          </w:tcPr>
          <w:p w14:paraId="6B9FBE0C" w14:textId="00FE472B" w:rsidR="0075728B" w:rsidRPr="001E3D2B" w:rsidRDefault="0075728B" w:rsidP="0042202B">
            <w:pPr>
              <w:rPr>
                <w:rFonts w:cstheme="minorHAnsi"/>
                <w:b/>
              </w:rPr>
            </w:pPr>
            <w:r w:rsidRPr="001E3D2B">
              <w:rPr>
                <w:rFonts w:cstheme="minorHAnsi"/>
                <w:b/>
              </w:rPr>
              <w:t xml:space="preserve">Uwaga wyjaśniona – brzmienie przepisu zostało zmienione w toku analizy uwag  - </w:t>
            </w:r>
            <w:r w:rsidR="00297ED7">
              <w:rPr>
                <w:rFonts w:cstheme="minorHAnsi"/>
                <w:b/>
              </w:rPr>
              <w:t xml:space="preserve"> </w:t>
            </w:r>
            <w:r w:rsidRPr="001E3D2B">
              <w:rPr>
                <w:rFonts w:cstheme="minorHAnsi"/>
                <w:b/>
              </w:rPr>
              <w:t xml:space="preserve">w zakresie zaproponowanego w projekcie przepisu krajowego umożliwiającego dalszą eksploatację na terytorium RP ciągników rolniczych sprowadzonych do Polski spoza UE i zarejestrowanych bez wymaganych </w:t>
            </w:r>
            <w:r w:rsidRPr="008A2B9F">
              <w:rPr>
                <w:rFonts w:cstheme="minorHAnsi"/>
                <w:b/>
              </w:rPr>
              <w:t>dokumentów homologacyjnych (oraz po konsultacji projektu przepisu z KE pod kątem wypracowania akceptowalnego przez KE rozwiązania) – na takie, które będzie uznane za niesprzeczne z wiążącymi</w:t>
            </w:r>
            <w:r w:rsidRPr="001E3D2B">
              <w:rPr>
                <w:rFonts w:cstheme="minorHAnsi"/>
                <w:b/>
              </w:rPr>
              <w:t xml:space="preserve"> Polskę przepisami unijnymi, i jednocześnie pozwoli na jednoznaczne uregulowanie sytuacji prawnej ww. pojazdów i w jak największym stopniu uwzględni oczekiwania rolników w zakresie możliwości dalszego używania tych pojazdów bez dodatkowych obciążeń i kosztów, i tak:</w:t>
            </w:r>
          </w:p>
          <w:p w14:paraId="6A4ACD50" w14:textId="77777777" w:rsidR="0075728B" w:rsidRPr="001E3D2B" w:rsidRDefault="0075728B" w:rsidP="0042202B">
            <w:pPr>
              <w:rPr>
                <w:rFonts w:cstheme="minorHAnsi"/>
                <w:b/>
              </w:rPr>
            </w:pPr>
            <w:r w:rsidRPr="001E3D2B">
              <w:rPr>
                <w:rFonts w:cstheme="minorHAnsi"/>
                <w:b/>
              </w:rPr>
              <w:t xml:space="preserve">-wobec ww. pojazdów już zarejestrowanych na terytorium RP wprowadzony zostanie przepis, który dokona zrównania w skutkach prawnych ich dotychczasowego dopuszczenia z określonym również w przepisach prawa UE, krajowym indywidualnym dopuszczeniem nowego pojazdu, co realnie umożliwi ich dalszą eksploatację, ale jedynie na terytorium RP. </w:t>
            </w:r>
          </w:p>
          <w:p w14:paraId="52B3791C" w14:textId="77777777" w:rsidR="0075728B" w:rsidRPr="001E3D2B" w:rsidRDefault="0075728B" w:rsidP="0042202B">
            <w:pPr>
              <w:rPr>
                <w:rFonts w:cstheme="minorHAnsi"/>
                <w:b/>
              </w:rPr>
            </w:pPr>
            <w:r w:rsidRPr="001E3D2B">
              <w:rPr>
                <w:rFonts w:cstheme="minorHAnsi"/>
                <w:b/>
              </w:rPr>
              <w:t>Właściciel takiego ciągnika będzie miał obowiązek uzyskania, w terminie 12 miesięcy od dnia wejścia w życie ustawy, adnotacji w dowodzie rejestracyjnym jednoznacznie wskazującej na dopuszczenie do ruchu jedynie na terytorium RP bez możliwości wywozu do innego państwa członkowskiego UE i EOG;</w:t>
            </w:r>
          </w:p>
          <w:p w14:paraId="4A3A1B76" w14:textId="77777777" w:rsidR="0075728B" w:rsidRPr="001E3D2B" w:rsidRDefault="0075728B" w:rsidP="0042202B">
            <w:pPr>
              <w:rPr>
                <w:rFonts w:cstheme="minorHAnsi"/>
                <w:b/>
              </w:rPr>
            </w:pPr>
            <w:r w:rsidRPr="001E3D2B">
              <w:rPr>
                <w:rFonts w:cstheme="minorHAnsi"/>
                <w:b/>
              </w:rPr>
              <w:t>-w przypadku zmiany właściciela takiego ciągnika rolniczego do jego rejestracji na terytorium RP (przerejestrowania) konieczne będzie uzyskanie krajowego indywidualnego dopuszczenia nowego pojazdu, z wyjątkiem pojazdów w odniesieniu do których dokonano przeniesienia prawa własności w drodze ściśle określonych przepisami zdarzeń prawnych uwzględniających m.in. sytuację dziedziczenia,</w:t>
            </w:r>
          </w:p>
          <w:p w14:paraId="323C541C" w14:textId="77777777" w:rsidR="0075728B" w:rsidRPr="001E3D2B" w:rsidRDefault="0075728B" w:rsidP="0042202B">
            <w:pPr>
              <w:rPr>
                <w:rFonts w:cstheme="minorHAnsi"/>
                <w:b/>
              </w:rPr>
            </w:pPr>
            <w:r w:rsidRPr="001E3D2B">
              <w:rPr>
                <w:rFonts w:cstheme="minorHAnsi"/>
                <w:b/>
              </w:rPr>
              <w:t xml:space="preserve">- ciągniki te, tak jak obecnie, nadal będą podlegać w trakcie eksploatacji sprawdzeniu technicznemu w drodze okresowych badań technicznych; co więcej należy zauważyć, iż ciągniki rolnicze na terytorium RP są używane zazwyczaj na ograniczonym obszarze i podlegają restrykcjom dotyczącym dozwolonej prędkości i oznakowania, </w:t>
            </w:r>
          </w:p>
          <w:p w14:paraId="4F7392A2" w14:textId="77777777" w:rsidR="0075728B" w:rsidRPr="001E3D2B" w:rsidRDefault="0075728B" w:rsidP="0042202B">
            <w:pPr>
              <w:rPr>
                <w:rFonts w:cstheme="minorHAnsi"/>
                <w:b/>
              </w:rPr>
            </w:pPr>
            <w:r w:rsidRPr="001E3D2B">
              <w:rPr>
                <w:rFonts w:cstheme="minorHAnsi"/>
                <w:b/>
              </w:rPr>
              <w:t xml:space="preserve">- w przypadku postępowań zakończonych przed dniem wejścia w życie projektowanej ustawy, wydaniem decyzji ostatecznej w sprawie stwierdzenia nieważności decyzji o rejestracji ciągnika rolniczego, w projekcie przewidziano również, na wniosek właściciela pojazdu, możliwość ponownej rejestracji tego pojazdu na podstawie jego danych z centralnej ewidencji pojazdów w terminie 12 miesięcy od dnia wejścia w życie projektowanej ustawy. W takim przypadku w nowym dowodzie rejestracyjnym również będzie zamieszczana adnotacja jednoznacznie wskazującą na dopuszczenie do ruchu jedynie na terytorium RP bez możliwości wywozu za granicę. </w:t>
            </w:r>
          </w:p>
          <w:p w14:paraId="1FCD303D" w14:textId="77777777" w:rsidR="0075728B" w:rsidRPr="001E3D2B" w:rsidRDefault="0075728B" w:rsidP="0042202B">
            <w:pPr>
              <w:rPr>
                <w:rFonts w:cstheme="minorHAnsi"/>
                <w:b/>
              </w:rPr>
            </w:pPr>
            <w:r w:rsidRPr="001E3D2B">
              <w:rPr>
                <w:rFonts w:cstheme="minorHAnsi"/>
                <w:b/>
              </w:rPr>
              <w:t>Brzmienie projektowanego przepisu art. 10:</w:t>
            </w:r>
          </w:p>
          <w:p w14:paraId="1DC05068" w14:textId="180E849F" w:rsidR="0075728B" w:rsidRPr="00727C07" w:rsidRDefault="0075728B" w:rsidP="0042202B">
            <w:pPr>
              <w:rPr>
                <w:rFonts w:cstheme="minorHAnsi"/>
                <w:b/>
                <w:i/>
              </w:rPr>
            </w:pPr>
            <w:r w:rsidRPr="00727C07">
              <w:rPr>
                <w:rFonts w:cstheme="minorHAnsi"/>
                <w:b/>
                <w:i/>
              </w:rPr>
              <w:t>„ Art. 10. 1. Dopuszczenie do ruchu drogowego ciągnika rolniczego sprowadzonego na terytorium Rzeczypospolitej Polskiej z państwa pochodzenia niebędącym państwem członkowskim Unii Europejskiej, bez przedłożenia do pierwszej rejestracji na terytorium Rzeczypospolitej Polskiej jednego z dokumentów, o których mowa w art. 72 ust. 1 pkt 3 ustawy zmienianej w art. 2, przed dniem wejścia w życie niniejszej ustawy w oparciu o warunki obowiązujące w ustawach zmienianych w art. 1 i art. 2, uznaje się za równoważne w skutkach prawnych z jego dopuszczeniem do ruchu drogowego na podstawie świadectwa krajowego indywidualnego dopuszczenia nowego pojazdu, po uzyskaniu, w terminie 12 miesięcy od dnia wejścia w życie niniejszej ustawy w dowodzie rejestracyjnym adnotacji o treści: „Pojazd dopuszczony do ruchu wyłącznie na terytorium Rzeczypospolitej Polskiej bez możliwości wywozu do innego państwa członkowskiego UE i EOG”. Adnotację w dowodzie rejestracyjnym, na wniosek właściciela pojazdu, zamieszcza organ rejestrujący właściwy ze względu na miejsce ostatniej rejestracji pojazdu, przekazując informację do centralnej ewidencji pojazdów.</w:t>
            </w:r>
          </w:p>
          <w:p w14:paraId="75D95AC1" w14:textId="045FE473" w:rsidR="0075728B" w:rsidRPr="00727C07" w:rsidRDefault="0075728B" w:rsidP="0042202B">
            <w:pPr>
              <w:rPr>
                <w:rFonts w:cstheme="minorHAnsi"/>
                <w:b/>
                <w:i/>
              </w:rPr>
            </w:pPr>
            <w:r w:rsidRPr="00727C07">
              <w:rPr>
                <w:rFonts w:cstheme="minorHAnsi"/>
                <w:b/>
                <w:i/>
              </w:rPr>
              <w:t>2. W przypadku postępowań zakończonych przed dniem wejścia w życie niniejszej ustawy wydaniem decyzji ostatecznej w sprawie stwierdzenia nieważności decyzji o rejestracji ciągnika rolniczego, o którym mowa w ust. 1, dopuszcza się, w terminie 12 miesięcy od dnia wejścia w życie niniejszej ustawy, na wniosek właściciela pojazdu, ponowną rejestrację tego pojazdu na podstawie jego danych z centralnej ewidencji pojazdów. Do wniosku dołącza się:</w:t>
            </w:r>
          </w:p>
          <w:p w14:paraId="2E7B8810" w14:textId="77777777" w:rsidR="0075728B" w:rsidRPr="00727C07" w:rsidRDefault="0075728B" w:rsidP="0042202B">
            <w:pPr>
              <w:rPr>
                <w:rFonts w:cstheme="minorHAnsi"/>
                <w:b/>
                <w:i/>
              </w:rPr>
            </w:pPr>
            <w:r w:rsidRPr="00727C07">
              <w:rPr>
                <w:rFonts w:cstheme="minorHAnsi"/>
                <w:b/>
                <w:i/>
              </w:rPr>
              <w:t>1) ostateczną i prawomocną decyzję o stwierdzeniu nieważności decyzji o rejestracji tego pojazdu;</w:t>
            </w:r>
          </w:p>
          <w:p w14:paraId="541FA1A8" w14:textId="77777777" w:rsidR="0075728B" w:rsidRPr="00727C07" w:rsidRDefault="0075728B" w:rsidP="0042202B">
            <w:pPr>
              <w:rPr>
                <w:rFonts w:cstheme="minorHAnsi"/>
                <w:b/>
                <w:i/>
              </w:rPr>
            </w:pPr>
            <w:r w:rsidRPr="00727C07">
              <w:rPr>
                <w:rFonts w:cstheme="minorHAnsi"/>
                <w:b/>
                <w:i/>
              </w:rPr>
              <w:t>2) zaświadczenie o pozytywnym wyniku badania technicznego pojazdu, jeżeli informacja o aktualnym pozytywnym wyniku badania technicznego pojazdu nie jest zamieszczona w centralnej ewidencji pojazdów.</w:t>
            </w:r>
          </w:p>
          <w:p w14:paraId="5C898DAF" w14:textId="77777777" w:rsidR="0075728B" w:rsidRPr="00727C07" w:rsidRDefault="0075728B" w:rsidP="0042202B">
            <w:pPr>
              <w:rPr>
                <w:rFonts w:cstheme="minorHAnsi"/>
                <w:b/>
                <w:i/>
              </w:rPr>
            </w:pPr>
            <w:r w:rsidRPr="00727C07">
              <w:rPr>
                <w:rFonts w:cstheme="minorHAnsi"/>
                <w:b/>
                <w:i/>
              </w:rPr>
              <w:t xml:space="preserve">Przepis ust. 1 stosuje się odpowiednio. </w:t>
            </w:r>
          </w:p>
          <w:p w14:paraId="3091E9A4" w14:textId="23F23DC7" w:rsidR="0075728B" w:rsidRPr="00727C07" w:rsidRDefault="0075728B" w:rsidP="0042202B">
            <w:pPr>
              <w:rPr>
                <w:rFonts w:cstheme="minorHAnsi"/>
                <w:b/>
                <w:i/>
              </w:rPr>
            </w:pPr>
            <w:r w:rsidRPr="00727C07">
              <w:rPr>
                <w:rFonts w:cstheme="minorHAnsi"/>
                <w:b/>
                <w:i/>
              </w:rPr>
              <w:t>3. W przypadku zmiany właściciela ciągnika rolniczego, do którego zastosowanie mają ust. 1 lub 2, warunkiem niezbędnym do rejestracji pojazdu jest uzyskanie krajowego indywidualnego dopuszczenia pojazdu, o którym mowa w art. 68a ust. 5 ustawy zmienianej w art. 1 w brzmieniu nadanym niniejszą ustawą, z wyjątkiem przeniesienia prawa własności w drodze:</w:t>
            </w:r>
          </w:p>
          <w:p w14:paraId="68BD1184" w14:textId="77777777" w:rsidR="0075728B" w:rsidRPr="00727C07" w:rsidRDefault="0075728B" w:rsidP="0042202B">
            <w:pPr>
              <w:rPr>
                <w:rFonts w:cstheme="minorHAnsi"/>
                <w:b/>
                <w:i/>
              </w:rPr>
            </w:pPr>
            <w:r w:rsidRPr="00727C07">
              <w:rPr>
                <w:rFonts w:cstheme="minorHAnsi"/>
                <w:b/>
                <w:i/>
              </w:rPr>
              <w:t>1) dziedziczenia w ramach kręgu osób bliskich w rozumieniu art. 2 pkt 6 ustawy z dnia 11 kwietnia 2003 r. o kształtowaniu ustroju rolnego (Dz. U. z 2025 r. poz. 1653);</w:t>
            </w:r>
          </w:p>
          <w:p w14:paraId="3855E618" w14:textId="77777777" w:rsidR="0075728B" w:rsidRPr="00727C07" w:rsidRDefault="0075728B" w:rsidP="0042202B">
            <w:pPr>
              <w:rPr>
                <w:rFonts w:cstheme="minorHAnsi"/>
                <w:b/>
                <w:i/>
              </w:rPr>
            </w:pPr>
            <w:r w:rsidRPr="00727C07">
              <w:rPr>
                <w:rFonts w:cstheme="minorHAnsi"/>
                <w:b/>
                <w:i/>
              </w:rPr>
              <w:t>2) umowy skutkującej nabyciem gospodarstwa rolnego, w której wskazany został ciągnik rolniczy wchodzący w skład tego gospodarstwa, do którego zastosowanie mają ust. 1 lub 2, zawartej przez właściciela tego gospodarstwa z osobą bliską w rozumieniu art. 2 pkt 6 ustawy z dnia 11 kwietnia 2003 r. o kształtowaniu ustroju rolnego (Dz. U. z 2025 r. poz. 1653);</w:t>
            </w:r>
          </w:p>
          <w:p w14:paraId="52690B32" w14:textId="46922BCF" w:rsidR="0075728B" w:rsidRPr="00727C07" w:rsidRDefault="0075728B" w:rsidP="0042202B">
            <w:pPr>
              <w:rPr>
                <w:rFonts w:cstheme="minorHAnsi"/>
                <w:b/>
                <w:i/>
              </w:rPr>
            </w:pPr>
            <w:r w:rsidRPr="00727C07">
              <w:rPr>
                <w:rFonts w:cstheme="minorHAnsi"/>
                <w:b/>
                <w:i/>
              </w:rPr>
              <w:t>3) umowy z następcą, o której mowa w art. 84 ustawy z dnia 20 grudnia 1990 r. o ubezpieczeniu społecznym rolników (Dz. U. z 2025 r. poz. 1770), w wyniku której nastąpiło przeniesienie własności gospodarstwa rolnego, w której wskazany został ciągnik rolniczy wchodzący w skład tego gospodarstwa, do którego zastosowanie mają ust. 1 lub 2.</w:t>
            </w:r>
          </w:p>
          <w:p w14:paraId="6E8782C5" w14:textId="1A9BBCD9" w:rsidR="0075728B" w:rsidRPr="00EA4BE8" w:rsidRDefault="0075728B" w:rsidP="0042202B">
            <w:pPr>
              <w:rPr>
                <w:rFonts w:ascii="Calibri" w:eastAsia="Times New Roman" w:hAnsi="Calibri" w:cs="Calibri"/>
                <w:b/>
              </w:rPr>
            </w:pPr>
            <w:r w:rsidRPr="00727C07">
              <w:rPr>
                <w:rFonts w:cstheme="minorHAnsi"/>
                <w:b/>
                <w:i/>
              </w:rPr>
              <w:t>4. W przypadkach, o których mowa w ust. 3 pkt 1-3, organ rejestrujący, przy rejestracji pojazdu, zamieszcza adnotację, o której mowa w ust. 1.”</w:t>
            </w:r>
          </w:p>
        </w:tc>
        <w:tc>
          <w:tcPr>
            <w:tcW w:w="3686" w:type="dxa"/>
          </w:tcPr>
          <w:p w14:paraId="054D2949" w14:textId="68BABE0A" w:rsidR="0075728B" w:rsidRDefault="0075728B" w:rsidP="0042202B">
            <w:pPr>
              <w:rPr>
                <w:rFonts w:cstheme="minorHAnsi"/>
                <w:b/>
              </w:rPr>
            </w:pPr>
            <w:r>
              <w:rPr>
                <w:rFonts w:cstheme="minorHAnsi"/>
                <w:b/>
              </w:rPr>
              <w:t xml:space="preserve">Akceptacja </w:t>
            </w:r>
          </w:p>
          <w:p w14:paraId="5F197248" w14:textId="6E420D2B" w:rsidR="00450239" w:rsidRDefault="00450239" w:rsidP="0042202B">
            <w:pPr>
              <w:rPr>
                <w:rFonts w:cstheme="minorHAnsi"/>
                <w:b/>
              </w:rPr>
            </w:pPr>
          </w:p>
          <w:p w14:paraId="6A6EC2B2" w14:textId="18476E0A" w:rsidR="00450239" w:rsidRPr="00450239" w:rsidRDefault="00450239" w:rsidP="0042202B">
            <w:pPr>
              <w:rPr>
                <w:rFonts w:cstheme="minorHAnsi"/>
                <w:b/>
                <w:color w:val="0070C0"/>
                <w:u w:val="single"/>
              </w:rPr>
            </w:pPr>
            <w:r w:rsidRPr="00450239">
              <w:rPr>
                <w:rFonts w:cstheme="minorHAnsi"/>
                <w:b/>
                <w:color w:val="0070C0"/>
                <w:u w:val="single"/>
              </w:rPr>
              <w:t xml:space="preserve">W ramach roboczych uzgodnień MSZ zaakceptowało sposób uwzględnienia uwag zawartych w pkt 123-130 raportu z uzgodnień międzyresortowych – ponadto w uzasadnieniu uwzględniono wyjaśnienia zawarte w pkt 124 i 128 raportu.  </w:t>
            </w:r>
          </w:p>
          <w:p w14:paraId="1ABFD3FF" w14:textId="336358A9" w:rsidR="0075728B" w:rsidRPr="001E3D2B" w:rsidRDefault="0075728B" w:rsidP="0042202B">
            <w:pPr>
              <w:rPr>
                <w:rFonts w:cstheme="minorHAnsi"/>
                <w:b/>
              </w:rPr>
            </w:pPr>
          </w:p>
        </w:tc>
      </w:tr>
      <w:tr w:rsidR="0075728B" w:rsidRPr="00C64601" w14:paraId="05DC1D6D" w14:textId="4C3499CE" w:rsidTr="00D76FE7">
        <w:tc>
          <w:tcPr>
            <w:tcW w:w="562" w:type="dxa"/>
          </w:tcPr>
          <w:p w14:paraId="1B4F3397" w14:textId="3121B845" w:rsidR="0075728B" w:rsidRPr="007A5B68" w:rsidRDefault="0075728B" w:rsidP="0042202B">
            <w:pPr>
              <w:rPr>
                <w:rFonts w:cstheme="minorHAnsi"/>
                <w:b/>
              </w:rPr>
            </w:pPr>
            <w:r w:rsidRPr="007A5B68">
              <w:rPr>
                <w:rFonts w:cstheme="minorHAnsi"/>
                <w:b/>
              </w:rPr>
              <w:t>124</w:t>
            </w:r>
          </w:p>
        </w:tc>
        <w:tc>
          <w:tcPr>
            <w:tcW w:w="993" w:type="dxa"/>
          </w:tcPr>
          <w:p w14:paraId="5DFC2767" w14:textId="77777777" w:rsidR="0075728B" w:rsidRDefault="0075728B" w:rsidP="0042202B">
            <w:pPr>
              <w:rPr>
                <w:rFonts w:cstheme="minorHAnsi"/>
                <w:b/>
              </w:rPr>
            </w:pPr>
            <w:r w:rsidRPr="007A5B68">
              <w:rPr>
                <w:rFonts w:cstheme="minorHAnsi"/>
                <w:b/>
              </w:rPr>
              <w:t>MSZ (opinia ds.UE)</w:t>
            </w:r>
          </w:p>
          <w:p w14:paraId="2D8090B2" w14:textId="77777777" w:rsidR="0075728B" w:rsidRDefault="0075728B" w:rsidP="0042202B">
            <w:pPr>
              <w:rPr>
                <w:rFonts w:cstheme="minorHAnsi"/>
                <w:b/>
                <w:color w:val="00B050"/>
              </w:rPr>
            </w:pPr>
            <w:r>
              <w:rPr>
                <w:rFonts w:cstheme="minorHAnsi"/>
                <w:b/>
                <w:color w:val="00B050"/>
              </w:rPr>
              <w:t xml:space="preserve">+ </w:t>
            </w:r>
          </w:p>
          <w:p w14:paraId="383BB89C" w14:textId="77777777" w:rsidR="0075728B" w:rsidRDefault="0075728B" w:rsidP="0042202B">
            <w:pPr>
              <w:rPr>
                <w:rFonts w:cstheme="minorHAnsi"/>
                <w:b/>
                <w:color w:val="00B050"/>
              </w:rPr>
            </w:pPr>
            <w:r>
              <w:rPr>
                <w:rFonts w:cstheme="minorHAnsi"/>
                <w:b/>
                <w:color w:val="00B050"/>
              </w:rPr>
              <w:t>uwaga 30 MNiSZW</w:t>
            </w:r>
          </w:p>
          <w:p w14:paraId="28457319" w14:textId="77777777" w:rsidR="0075728B" w:rsidRPr="00CB4167" w:rsidRDefault="0075728B" w:rsidP="0042202B">
            <w:pPr>
              <w:rPr>
                <w:rFonts w:cstheme="minorHAnsi"/>
                <w:b/>
                <w:color w:val="00B050"/>
              </w:rPr>
            </w:pPr>
          </w:p>
          <w:p w14:paraId="487AF1BC" w14:textId="6625F822" w:rsidR="0075728B" w:rsidRPr="007A5B68" w:rsidRDefault="0075728B" w:rsidP="0042202B">
            <w:pPr>
              <w:rPr>
                <w:rFonts w:cstheme="minorHAnsi"/>
                <w:b/>
              </w:rPr>
            </w:pPr>
            <w:r>
              <w:rPr>
                <w:rFonts w:cstheme="minorHAnsi"/>
                <w:b/>
                <w:color w:val="00B050"/>
              </w:rPr>
              <w:t>+ uwaga 40 MFiG</w:t>
            </w:r>
          </w:p>
        </w:tc>
        <w:tc>
          <w:tcPr>
            <w:tcW w:w="1701" w:type="dxa"/>
          </w:tcPr>
          <w:p w14:paraId="2F9896E2" w14:textId="366BAA0E" w:rsidR="0075728B" w:rsidRPr="007A5B68" w:rsidRDefault="0075728B" w:rsidP="0042202B">
            <w:pPr>
              <w:rPr>
                <w:rFonts w:cstheme="minorHAnsi"/>
                <w:b/>
              </w:rPr>
            </w:pPr>
            <w:r w:rsidRPr="007A5B68">
              <w:rPr>
                <w:rFonts w:cstheme="minorHAnsi"/>
                <w:b/>
              </w:rPr>
              <w:t>Art. 68l ust. 1 UH</w:t>
            </w:r>
          </w:p>
        </w:tc>
        <w:tc>
          <w:tcPr>
            <w:tcW w:w="5953" w:type="dxa"/>
          </w:tcPr>
          <w:p w14:paraId="0BE130ED" w14:textId="67679159" w:rsidR="0075728B" w:rsidRPr="007A5B68" w:rsidRDefault="0075728B" w:rsidP="0042202B">
            <w:pPr>
              <w:autoSpaceDE w:val="0"/>
              <w:autoSpaceDN w:val="0"/>
              <w:adjustRightInd w:val="0"/>
              <w:rPr>
                <w:rFonts w:cstheme="minorHAnsi"/>
                <w:b/>
              </w:rPr>
            </w:pPr>
            <w:r w:rsidRPr="007A5B68">
              <w:rPr>
                <w:rFonts w:cstheme="minorHAnsi"/>
                <w:b/>
              </w:rPr>
              <w:t>Zgodnie z projektowanym art. 68l ust. 1 ustawy o systemach homologacji pojazdów oraz ich wyposażenia (art. 1 pkt 10 projektu), procedurę krajowego indywidualnego dopuszczenia pojazdu wykonuje uprawniony diagnosta, który ukończył szkolenie specjalistyczne w zakresie krajowego indywidualnego dopuszczenia pojazdu niebędącego nowym pojazdem, potwierdzone zaświadczeniem o jego ukończeniu oraz złożył z wynikiem pozytywnym egzamin kwalifikacyjny w tym zakresie. W tym kontekście przypominam, że uprawnionym diagnostą mogą być również osoby, które wprawdzie nie przeszły szkolenia, o którym mowa w przywołanym przepisie, ale uzyskały decyzję o uznaniu kwalifikacji zawodowych w zawodzie diagnosty. Procedura uznania kwalifikacji jest uregulowana w ustawie z dnia 22 grudnia 2015 r. o zasadach uznawania kwalifikacji zawodowych w państwach członkowskich Unii Europejskiej, która wdraża do krajowego porządku dyrektywę 2005/36/WE Parlamentu Europejskiego i Rady z dnia 7 września 2005 r. w sprawie uznawania kwalifikacji zawodowych. W celu uniknięcia ewentualnych wątpliwości interpretacyjnych zasadne jest uzupełnienie projektu lub jego uzasadnienia w tym zakresie.</w:t>
            </w:r>
          </w:p>
        </w:tc>
        <w:tc>
          <w:tcPr>
            <w:tcW w:w="3827" w:type="dxa"/>
          </w:tcPr>
          <w:p w14:paraId="15900995" w14:textId="77777777" w:rsidR="0075728B" w:rsidRDefault="0075728B" w:rsidP="0042202B">
            <w:pPr>
              <w:rPr>
                <w:rFonts w:cstheme="minorHAnsi"/>
                <w:b/>
              </w:rPr>
            </w:pPr>
            <w:r w:rsidRPr="009A0184">
              <w:rPr>
                <w:rFonts w:cstheme="minorHAnsi"/>
                <w:b/>
              </w:rPr>
              <w:t>Uwaga nie ma zastosowania wobec wprowadzonej w toku konsultacji publicznych ze środowiskiem zmiany w UC95 poprzez wprowadzenie   fakultatywności procedury dopuszczenia indywidualnego realizowanego przez uprawnionego diagnostę w stacji kontroli pojazdów. Zatem to przedsiębiorca prowadzący działalność gospodarczą w zakresie stacji kontroli pojazdów oraz zatrudniony przez niego diagnosta mogą zgłosić zainteresowanie realizacją tej procedury w stacji, ale nie będzie nałożony na nich obligatoryjny obowiązek jej przeprowadzania</w:t>
            </w:r>
            <w:r>
              <w:rPr>
                <w:rFonts w:cstheme="minorHAnsi"/>
                <w:b/>
              </w:rPr>
              <w:t>, co nie spowoduje zmiany w dostępie do zawodu regulowanego, jakim jest zawód diagnosty:</w:t>
            </w:r>
          </w:p>
          <w:p w14:paraId="277B12C6" w14:textId="77777777" w:rsidR="0075728B" w:rsidRDefault="0075728B" w:rsidP="0042202B">
            <w:pPr>
              <w:rPr>
                <w:rFonts w:cstheme="minorHAnsi"/>
                <w:b/>
              </w:rPr>
            </w:pPr>
          </w:p>
          <w:p w14:paraId="05CC44C3" w14:textId="42DB2EC2" w:rsidR="0075728B" w:rsidRPr="004F55DD" w:rsidRDefault="0075728B" w:rsidP="0042202B">
            <w:pPr>
              <w:rPr>
                <w:rFonts w:cstheme="minorHAnsi"/>
                <w:b/>
                <w:i/>
              </w:rPr>
            </w:pPr>
            <w:r w:rsidRPr="004F55DD">
              <w:rPr>
                <w:rFonts w:cstheme="minorHAnsi"/>
                <w:b/>
                <w:i/>
              </w:rPr>
              <w:t>„Art. 68g. 1. Procedura krajowego indywidualnego dopuszczenia pojazdu niebędącego nowym pojazdem jest realizowana przez uprawnionego diagnostę, który:</w:t>
            </w:r>
          </w:p>
          <w:p w14:paraId="0876A9E9" w14:textId="77777777" w:rsidR="0075728B" w:rsidRPr="004F55DD" w:rsidRDefault="0075728B" w:rsidP="0042202B">
            <w:pPr>
              <w:pStyle w:val="ZARTzmartartykuempunktem"/>
              <w:numPr>
                <w:ilvl w:val="0"/>
                <w:numId w:val="24"/>
              </w:numPr>
              <w:spacing w:line="240" w:lineRule="auto"/>
              <w:ind w:left="738" w:hanging="283"/>
              <w:jc w:val="left"/>
              <w:rPr>
                <w:rFonts w:asciiTheme="minorHAnsi" w:eastAsiaTheme="minorHAnsi" w:hAnsiTheme="minorHAnsi" w:cstheme="minorHAnsi"/>
                <w:b/>
                <w:i/>
                <w:sz w:val="22"/>
                <w:szCs w:val="22"/>
                <w:lang w:eastAsia="en-US"/>
              </w:rPr>
            </w:pPr>
            <w:r w:rsidRPr="004F55DD">
              <w:rPr>
                <w:rFonts w:asciiTheme="minorHAnsi" w:eastAsiaTheme="minorHAnsi" w:hAnsiTheme="minorHAnsi" w:cstheme="minorHAnsi"/>
                <w:b/>
                <w:i/>
                <w:sz w:val="22"/>
                <w:szCs w:val="22"/>
                <w:lang w:eastAsia="en-US"/>
              </w:rPr>
              <w:t>posiada zaświadczenie kwalifikacyjne;</w:t>
            </w:r>
          </w:p>
          <w:p w14:paraId="4B61048B" w14:textId="77777777" w:rsidR="0075728B" w:rsidRPr="004F55DD" w:rsidRDefault="0075728B" w:rsidP="0042202B">
            <w:pPr>
              <w:pStyle w:val="ZARTzmartartykuempunktem"/>
              <w:numPr>
                <w:ilvl w:val="0"/>
                <w:numId w:val="24"/>
              </w:numPr>
              <w:spacing w:line="240" w:lineRule="auto"/>
              <w:ind w:left="738" w:hanging="283"/>
              <w:jc w:val="left"/>
              <w:rPr>
                <w:rFonts w:asciiTheme="minorHAnsi" w:eastAsiaTheme="minorHAnsi" w:hAnsiTheme="minorHAnsi" w:cstheme="minorHAnsi"/>
                <w:b/>
                <w:i/>
                <w:sz w:val="22"/>
                <w:szCs w:val="22"/>
                <w:lang w:eastAsia="en-US"/>
              </w:rPr>
            </w:pPr>
            <w:r w:rsidRPr="004F55DD">
              <w:rPr>
                <w:rFonts w:asciiTheme="minorHAnsi" w:eastAsiaTheme="minorHAnsi" w:hAnsiTheme="minorHAnsi" w:cstheme="minorHAnsi"/>
                <w:b/>
                <w:i/>
                <w:sz w:val="22"/>
                <w:szCs w:val="22"/>
                <w:lang w:eastAsia="en-US"/>
              </w:rPr>
              <w:t>jest zatrudniony przez przedsiębiorcę:</w:t>
            </w:r>
          </w:p>
          <w:p w14:paraId="63F82B79" w14:textId="77777777" w:rsidR="0075728B" w:rsidRPr="004F55DD" w:rsidRDefault="0075728B" w:rsidP="0042202B">
            <w:pPr>
              <w:pStyle w:val="ZARTzmartartykuempunktem"/>
              <w:numPr>
                <w:ilvl w:val="0"/>
                <w:numId w:val="23"/>
              </w:numPr>
              <w:spacing w:line="240" w:lineRule="auto"/>
              <w:jc w:val="left"/>
              <w:rPr>
                <w:rFonts w:asciiTheme="minorHAnsi" w:eastAsiaTheme="minorHAnsi" w:hAnsiTheme="minorHAnsi" w:cstheme="minorHAnsi"/>
                <w:b/>
                <w:i/>
                <w:sz w:val="22"/>
                <w:szCs w:val="22"/>
                <w:lang w:eastAsia="en-US"/>
              </w:rPr>
            </w:pPr>
            <w:r w:rsidRPr="004F55DD">
              <w:rPr>
                <w:rFonts w:asciiTheme="minorHAnsi" w:eastAsiaTheme="minorHAnsi" w:hAnsiTheme="minorHAnsi" w:cstheme="minorHAnsi"/>
                <w:b/>
                <w:i/>
                <w:sz w:val="22"/>
                <w:szCs w:val="22"/>
                <w:lang w:eastAsia="en-US"/>
              </w:rPr>
              <w:t>wykonującego działalność gospodarczą w zakresie odpowiednio stacji kontroli pojazdów, o której mowa w art. 83 ust. 1 pkt 1 lub 2 ustawy z dnia 20 czerwca 1997 r. – Prawo o ruchu drogowym,</w:t>
            </w:r>
          </w:p>
          <w:p w14:paraId="591E98E3" w14:textId="2EC187EE" w:rsidR="0075728B" w:rsidRPr="004F55DD" w:rsidRDefault="0075728B" w:rsidP="0042202B">
            <w:pPr>
              <w:pStyle w:val="ZARTzmartartykuempunktem"/>
              <w:numPr>
                <w:ilvl w:val="0"/>
                <w:numId w:val="23"/>
              </w:numPr>
              <w:spacing w:line="240" w:lineRule="auto"/>
              <w:jc w:val="left"/>
              <w:rPr>
                <w:rFonts w:asciiTheme="minorHAnsi" w:eastAsiaTheme="minorHAnsi" w:hAnsiTheme="minorHAnsi" w:cstheme="minorHAnsi"/>
                <w:b/>
                <w:i/>
                <w:sz w:val="22"/>
                <w:szCs w:val="22"/>
                <w:lang w:eastAsia="en-US"/>
              </w:rPr>
            </w:pPr>
            <w:r w:rsidRPr="004F55DD">
              <w:rPr>
                <w:rFonts w:asciiTheme="minorHAnsi" w:eastAsiaTheme="minorHAnsi" w:hAnsiTheme="minorHAnsi" w:cstheme="minorHAnsi"/>
                <w:b/>
                <w:i/>
                <w:sz w:val="22"/>
                <w:szCs w:val="22"/>
                <w:lang w:eastAsia="en-US"/>
              </w:rPr>
              <w:t xml:space="preserve"> posiadającego uprawnienie do realizacji tej procedury przez diagnostę, o którym mowa w pkt 1 w prowadzonej przez niego stacji.”</w:t>
            </w:r>
          </w:p>
        </w:tc>
        <w:tc>
          <w:tcPr>
            <w:tcW w:w="3686" w:type="dxa"/>
          </w:tcPr>
          <w:p w14:paraId="7FDF579B" w14:textId="77777777" w:rsidR="004D09B2" w:rsidRPr="00297ED7" w:rsidRDefault="0075728B" w:rsidP="0042202B">
            <w:pPr>
              <w:rPr>
                <w:rFonts w:cstheme="minorHAnsi"/>
                <w:b/>
                <w:color w:val="0070C0"/>
              </w:rPr>
            </w:pPr>
            <w:r w:rsidRPr="00297ED7">
              <w:rPr>
                <w:rFonts w:cstheme="minorHAnsi"/>
                <w:b/>
                <w:color w:val="0070C0"/>
              </w:rPr>
              <w:t>Wst</w:t>
            </w:r>
            <w:r w:rsidR="00657F53" w:rsidRPr="00297ED7">
              <w:rPr>
                <w:rFonts w:cstheme="minorHAnsi"/>
                <w:b/>
                <w:color w:val="0070C0"/>
              </w:rPr>
              <w:t>ę</w:t>
            </w:r>
            <w:r w:rsidRPr="00297ED7">
              <w:rPr>
                <w:rFonts w:cstheme="minorHAnsi"/>
                <w:b/>
                <w:color w:val="0070C0"/>
              </w:rPr>
              <w:t xml:space="preserve">pna akceptacja – czekamy na </w:t>
            </w:r>
            <w:r w:rsidR="00657F53" w:rsidRPr="00297ED7">
              <w:rPr>
                <w:rFonts w:cstheme="minorHAnsi"/>
                <w:b/>
                <w:color w:val="0070C0"/>
              </w:rPr>
              <w:t>korespondencję emailową</w:t>
            </w:r>
          </w:p>
          <w:p w14:paraId="0C927C49" w14:textId="77777777" w:rsidR="004D09B2" w:rsidRPr="00297ED7" w:rsidRDefault="004D09B2" w:rsidP="0042202B">
            <w:pPr>
              <w:rPr>
                <w:rFonts w:cstheme="minorHAnsi"/>
                <w:b/>
                <w:color w:val="0070C0"/>
              </w:rPr>
            </w:pPr>
          </w:p>
          <w:p w14:paraId="3E897810" w14:textId="77777777" w:rsidR="004D09B2" w:rsidRPr="004D09B2" w:rsidRDefault="004D09B2" w:rsidP="0042202B">
            <w:pPr>
              <w:rPr>
                <w:rFonts w:cstheme="minorHAnsi"/>
                <w:b/>
                <w:color w:val="0070C0"/>
              </w:rPr>
            </w:pPr>
            <w:r w:rsidRPr="004D09B2">
              <w:rPr>
                <w:rFonts w:cstheme="minorHAnsi"/>
                <w:b/>
                <w:color w:val="0070C0"/>
              </w:rPr>
              <w:t>Uzupełniono OSR i uzasadnienie o poniższą informację zaakceptowaną przez MNiSW:</w:t>
            </w:r>
          </w:p>
          <w:p w14:paraId="51F89A31" w14:textId="77777777" w:rsidR="0075728B" w:rsidRDefault="00657F53" w:rsidP="0042202B">
            <w:pPr>
              <w:rPr>
                <w:rFonts w:cstheme="minorHAnsi"/>
                <w:b/>
                <w:color w:val="0070C0"/>
              </w:rPr>
            </w:pPr>
            <w:r w:rsidRPr="004D09B2">
              <w:rPr>
                <w:rFonts w:cstheme="minorHAnsi"/>
                <w:b/>
                <w:color w:val="0070C0"/>
              </w:rPr>
              <w:t xml:space="preserve"> </w:t>
            </w:r>
          </w:p>
          <w:p w14:paraId="145F2630" w14:textId="77777777" w:rsidR="004D09B2" w:rsidRPr="00297ED7" w:rsidRDefault="004D09B2" w:rsidP="0042202B">
            <w:pPr>
              <w:rPr>
                <w:rFonts w:cstheme="minorHAnsi"/>
                <w:b/>
                <w:color w:val="0070C0"/>
              </w:rPr>
            </w:pPr>
            <w:r w:rsidRPr="00297ED7">
              <w:rPr>
                <w:rFonts w:cstheme="minorHAnsi"/>
                <w:b/>
                <w:color w:val="0070C0"/>
              </w:rPr>
              <w:t>Zgodnie z art. 5 pkt 4 ustawy z dnia 22 grudnia 2015 r. o zasadach uznawania kwalifikacji zawodowych nabytych w państwach członkowskich Unii Europejskiej (Dz. U. z 2026 r. poz. 166) zawód regulowany oznacza zespół czynności zawodowych, których wykonywanie jest uzależnione od posiadania określonych w przepisach regulacyjnych formalnych kwalifikacji niezbędnych do wykonywania tych czynności zawodowych oraz, o ile jest to wymagane, od spełnienia innych warunków określonych w tych przepisach, stanowiących o sposobie regulacji zawodu.</w:t>
            </w:r>
          </w:p>
          <w:p w14:paraId="2148B251" w14:textId="77777777" w:rsidR="004D09B2" w:rsidRPr="00297ED7" w:rsidRDefault="004D09B2" w:rsidP="0042202B">
            <w:pPr>
              <w:rPr>
                <w:rFonts w:cstheme="minorHAnsi"/>
                <w:b/>
                <w:color w:val="0070C0"/>
              </w:rPr>
            </w:pPr>
            <w:r w:rsidRPr="00297ED7">
              <w:rPr>
                <w:rFonts w:cstheme="minorHAnsi"/>
                <w:b/>
                <w:color w:val="0070C0"/>
              </w:rPr>
              <w:t xml:space="preserve">Formalne kwalifikacje niezbędne do wykonywania zawodu diagnosty zostały uregulowane w art. 84 ustawy z dnia 20 czerwca 1997 r. – Prawo o ruchu drogowym. Podstawę regulacji zawodu regulowanego stanowi również rozporządzenie Ministra Infrastruktury i Rozwoju z dnia 28 listopada 2014 r. w sprawie szkolenia i egzaminowania diagnostów oraz wzorów dokumentów z tym związanych (Dz. U. z 2021 r. poz. 1921). </w:t>
            </w:r>
          </w:p>
          <w:p w14:paraId="7CED8DB6" w14:textId="77777777" w:rsidR="004D09B2" w:rsidRPr="00297ED7" w:rsidRDefault="004D09B2" w:rsidP="0042202B">
            <w:pPr>
              <w:rPr>
                <w:rFonts w:cstheme="minorHAnsi"/>
                <w:b/>
                <w:color w:val="0070C0"/>
              </w:rPr>
            </w:pPr>
            <w:r w:rsidRPr="00297ED7">
              <w:rPr>
                <w:rFonts w:cstheme="minorHAnsi"/>
                <w:b/>
                <w:color w:val="0070C0"/>
              </w:rPr>
              <w:t xml:space="preserve">Uprawnienie do wykonywania badań technicznych pojazdów wydaje starosta, jeżeli osoba ubiegająca się o jego wydanie posiada wymagane wykształcenie techniczne i praktykę, odbyła wymagane szkolenie oraz zdała egzamin kwalifikacyjny. Ponadto na mocy § 1 ust. 3 rozporządzenia Ministra Infrastruktury i Budownictwa z dnia 14 grudnia 2016 r. w </w:t>
            </w:r>
            <w:hyperlink r:id="rId11" w:tgtFrame="_blank" w:history="1">
              <w:r w:rsidRPr="00297ED7">
                <w:rPr>
                  <w:rFonts w:cstheme="minorHAnsi"/>
                  <w:b/>
                  <w:color w:val="0070C0"/>
                </w:rPr>
                <w:t>sprawie upoważnienia organów do uznawania kwalifikacji do wykonywania zawodów regulowanych należących do działów budownictwo, planowanie i zagospodarowanie przestrzenne oraz mieszkalnictwo i transport</w:t>
              </w:r>
            </w:hyperlink>
            <w:r w:rsidRPr="00297ED7">
              <w:rPr>
                <w:rFonts w:cstheme="minorHAnsi"/>
                <w:b/>
                <w:color w:val="0070C0"/>
              </w:rPr>
              <w:t xml:space="preserve"> (Dz. U. poz. 2086), Dyrektor TDT jest upoważniony do uznawania w drodze decyzji, nabytych w innych niż Rzeczpospolita Polska państwach członkowskich Unii Europejskiej, Konfederacji Szwajcarskiej lub państwach członkowskich Europejskiego Porozumienia o Wolnym Handlu (EFTA) – stronach umowy o Europejskim Obszarze Gospodarczym, kwalifikacji do wykonywania zawodu regulowanego, jakim jest zawód diagnosty uprawniony do wykonywania badań technicznych pojazdów. </w:t>
            </w:r>
          </w:p>
          <w:p w14:paraId="4062797A" w14:textId="77777777" w:rsidR="004D09B2" w:rsidRPr="00297ED7" w:rsidRDefault="004D09B2" w:rsidP="0042202B">
            <w:pPr>
              <w:rPr>
                <w:rFonts w:cstheme="minorHAnsi"/>
                <w:b/>
                <w:color w:val="0070C0"/>
              </w:rPr>
            </w:pPr>
            <w:r w:rsidRPr="00297ED7">
              <w:rPr>
                <w:rFonts w:cstheme="minorHAnsi"/>
                <w:b/>
                <w:color w:val="0070C0"/>
              </w:rPr>
              <w:t xml:space="preserve">Z danych otrzymanych od Dyrektora TDT (stan na dzień 24 kwietnia 2026 r. na podstawie liczby wydanych zaświadczeń potwierdzających zdanie egzaminu kwalifikacyjnego od 2016 r.) wynika, że jest 15490 diagnostów. </w:t>
            </w:r>
          </w:p>
          <w:p w14:paraId="1CDB08A0" w14:textId="77777777" w:rsidR="004D09B2" w:rsidRPr="00297ED7" w:rsidRDefault="004D09B2" w:rsidP="0042202B">
            <w:pPr>
              <w:rPr>
                <w:rFonts w:cstheme="minorHAnsi"/>
                <w:b/>
                <w:color w:val="0070C0"/>
              </w:rPr>
            </w:pPr>
            <w:r w:rsidRPr="00297ED7">
              <w:rPr>
                <w:rFonts w:cstheme="minorHAnsi"/>
                <w:b/>
                <w:color w:val="0070C0"/>
              </w:rPr>
              <w:t xml:space="preserve">Projekt ustawy UC95 wprowadza nową krajową procedurę dopuszczenia indywidualnego pojazdu niebędącego nowym pojazdem, która będzie realizowana przez uprawnionego diagnostę zatrudnionego przez przedsiębiorcę prowadzącego działalność gospodarczą w zakresie okręgowej albo podstawowej stacji kontroli pojazdów. </w:t>
            </w:r>
          </w:p>
          <w:p w14:paraId="19E6AAA9" w14:textId="77777777" w:rsidR="004D09B2" w:rsidRPr="00297ED7" w:rsidRDefault="004D09B2" w:rsidP="0042202B">
            <w:pPr>
              <w:pStyle w:val="ZARTzmartartykuempunktem"/>
              <w:spacing w:line="240" w:lineRule="auto"/>
              <w:ind w:left="0" w:firstLine="0"/>
              <w:jc w:val="left"/>
              <w:rPr>
                <w:rFonts w:asciiTheme="minorHAnsi" w:eastAsiaTheme="minorHAnsi" w:hAnsiTheme="minorHAnsi" w:cstheme="minorHAnsi"/>
                <w:b/>
                <w:color w:val="0070C0"/>
                <w:sz w:val="22"/>
                <w:szCs w:val="22"/>
                <w:lang w:eastAsia="en-US"/>
              </w:rPr>
            </w:pPr>
            <w:r w:rsidRPr="00297ED7">
              <w:rPr>
                <w:rFonts w:asciiTheme="minorHAnsi" w:eastAsiaTheme="minorHAnsi" w:hAnsiTheme="minorHAnsi" w:cstheme="minorHAnsi"/>
                <w:b/>
                <w:color w:val="0070C0"/>
                <w:sz w:val="22"/>
                <w:szCs w:val="22"/>
                <w:lang w:eastAsia="en-US"/>
              </w:rPr>
              <w:t xml:space="preserve">Należy zauważyć jak wskazano powyżej, iż zarówno uprawniony diagnosta, jak i przedsiębiorca prowadzący stacje kontroli pojazdów sami decydują o przystąpieniu do przeprowadzenia tej procedury – zatem ma ona charakter fakultatywny. Dopiero w przypadku podjęcia zamiaru realizacji tej procedury, zarówno diagnosta, jak i przedsiębiorca prowadzący stację będą musieli spełnić określone wymogi dedykowane tej procedurze i uzyskać odpowiednie upoważnienia do jej realizacji. </w:t>
            </w:r>
          </w:p>
          <w:p w14:paraId="412DC247" w14:textId="77777777" w:rsidR="004D09B2" w:rsidRPr="00297ED7" w:rsidRDefault="004D09B2" w:rsidP="0042202B">
            <w:pPr>
              <w:pStyle w:val="ZARTzmartartykuempunktem"/>
              <w:spacing w:line="240" w:lineRule="auto"/>
              <w:ind w:left="0" w:firstLine="0"/>
              <w:jc w:val="left"/>
              <w:rPr>
                <w:rFonts w:asciiTheme="minorHAnsi" w:eastAsiaTheme="minorHAnsi" w:hAnsiTheme="minorHAnsi" w:cstheme="minorHAnsi"/>
                <w:b/>
                <w:color w:val="0070C0"/>
                <w:sz w:val="22"/>
                <w:szCs w:val="22"/>
                <w:lang w:eastAsia="en-US"/>
              </w:rPr>
            </w:pPr>
            <w:r w:rsidRPr="00297ED7">
              <w:rPr>
                <w:rFonts w:asciiTheme="minorHAnsi" w:eastAsiaTheme="minorHAnsi" w:hAnsiTheme="minorHAnsi" w:cstheme="minorHAnsi"/>
                <w:b/>
                <w:color w:val="0070C0"/>
                <w:sz w:val="22"/>
                <w:szCs w:val="22"/>
                <w:lang w:eastAsia="en-US"/>
              </w:rPr>
              <w:t xml:space="preserve">Takie samo podejście jest w przepisie przejściowym projektu UC95 – art. 8 i 9 – gdzie pozostawiona jest fakultatywność realizacji procedury, która zależy od decyzji diagnosty, a nie wynika z obowiązku prawnego. Natomiast jeżeli już diagnosta zdecyduje się na realizację tej procedury to musi przejść cały proces w zakresie szkolenia, egzaminu i uzyskania zaświadczenia kwalifikacyjnego wydanego przez Dyrektora TDT </w:t>
            </w:r>
            <w:r w:rsidRPr="00297ED7">
              <w:rPr>
                <w:rFonts w:asciiTheme="minorHAnsi" w:eastAsiaTheme="minorHAnsi" w:hAnsiTheme="minorHAnsi" w:cstheme="minorHAnsi"/>
                <w:b/>
                <w:color w:val="0070C0"/>
                <w:sz w:val="22"/>
                <w:szCs w:val="22"/>
                <w:lang w:eastAsia="en-US"/>
              </w:rPr>
              <w:softHyphen/>
            </w:r>
            <w:r w:rsidRPr="00297ED7">
              <w:rPr>
                <w:rFonts w:asciiTheme="minorHAnsi" w:eastAsiaTheme="minorHAnsi" w:hAnsiTheme="minorHAnsi" w:cstheme="minorHAnsi"/>
                <w:b/>
                <w:color w:val="0070C0"/>
                <w:sz w:val="22"/>
                <w:szCs w:val="22"/>
                <w:lang w:eastAsia="en-US"/>
              </w:rPr>
              <w:softHyphen/>
              <w:t xml:space="preserve">– wymogi te nie dotyczą zatem każdego uprawnionego diagnosty, ale tylko tego, który będzie chciał przeprowadzać w stacji kontroli pojazdów procedurę krajowego indywidualnego dopuszczenia pojazdu niebędącego nowym pojazdem. </w:t>
            </w:r>
          </w:p>
          <w:p w14:paraId="1382F011" w14:textId="77777777" w:rsidR="004D09B2" w:rsidRPr="00297ED7" w:rsidRDefault="004D09B2" w:rsidP="0042202B">
            <w:pPr>
              <w:pStyle w:val="ZARTzmartartykuempunktem"/>
              <w:spacing w:line="240" w:lineRule="auto"/>
              <w:ind w:left="0" w:firstLine="0"/>
              <w:jc w:val="left"/>
              <w:rPr>
                <w:rFonts w:asciiTheme="minorHAnsi" w:eastAsiaTheme="minorHAnsi" w:hAnsiTheme="minorHAnsi" w:cstheme="minorHAnsi"/>
                <w:b/>
                <w:color w:val="0070C0"/>
                <w:sz w:val="22"/>
                <w:szCs w:val="22"/>
                <w:lang w:eastAsia="en-US"/>
              </w:rPr>
            </w:pPr>
            <w:r w:rsidRPr="00297ED7">
              <w:rPr>
                <w:rFonts w:asciiTheme="minorHAnsi" w:eastAsiaTheme="minorHAnsi" w:hAnsiTheme="minorHAnsi" w:cstheme="minorHAnsi"/>
                <w:b/>
                <w:color w:val="0070C0"/>
                <w:sz w:val="22"/>
                <w:szCs w:val="22"/>
                <w:lang w:eastAsia="en-US"/>
              </w:rPr>
              <w:t xml:space="preserve">Mając na uwadze powyższe, w ocenie projektodawcy, wprowadzenie nowej procedury i określenie wymagań na potrzeby jej przeprowadzania nie wpływa na sam dostęp do zawodu diagnosty, gdyż projekt UC95 nie zmienia formalnych kwalifikacji określonych w art. 84 ustawy z dnia 20 czerwca 1997 r. – Prawo o ruchu drogowym, niezbędnych do uzyskania od starosty uprawnienia diagnosty, czy też uznania kwalifikacji przez Dyrektora TDT. </w:t>
            </w:r>
          </w:p>
          <w:p w14:paraId="21408096" w14:textId="77777777" w:rsidR="004D09B2" w:rsidRPr="00297ED7" w:rsidRDefault="004D09B2" w:rsidP="0042202B">
            <w:pPr>
              <w:rPr>
                <w:rFonts w:cstheme="minorHAnsi"/>
                <w:b/>
                <w:color w:val="0070C0"/>
              </w:rPr>
            </w:pPr>
            <w:r w:rsidRPr="00297ED7">
              <w:rPr>
                <w:rFonts w:cstheme="minorHAnsi"/>
                <w:b/>
                <w:color w:val="0070C0"/>
              </w:rPr>
              <w:t>Wprowadzenie nowego fakultatywnego zadania dla diagnostów i wymagań z tym związanych projektem ustawy UC95 spowodowało konieczność obowiązku przeprowadzenia oceny zgodności projektowanych przepisów z zasadami proporcjonalności, uzasadnionego i niedyskryminującego charakteru:</w:t>
            </w:r>
          </w:p>
          <w:p w14:paraId="4291CE1D" w14:textId="77777777" w:rsidR="004D09B2" w:rsidRPr="00297ED7" w:rsidRDefault="004D09B2" w:rsidP="0042202B">
            <w:pPr>
              <w:rPr>
                <w:rFonts w:cstheme="minorHAnsi"/>
                <w:b/>
                <w:color w:val="0070C0"/>
              </w:rPr>
            </w:pPr>
            <w:r w:rsidRPr="00297ED7">
              <w:rPr>
                <w:rFonts w:cstheme="minorHAnsi"/>
                <w:b/>
                <w:color w:val="0070C0"/>
              </w:rPr>
              <w:t>Projektowane przepisy są zgodne z zasadą uzasadnionego charakteru. Jest to istotne zważywszy, że nadrzędnym celem nowych regulacji jest zapewnienie szerszego dostępu dla właścicieli pojazdów sprowadzonych z krajów spoza UE do uzyskania krajowego indywidualnego dopuszczenia pojazdu niebędącego nowym pojazdem w porównaniu do sytuacji, gdyby zadanie to wykonywałaby w pełni służba techniczna. Dlatego takie rozwiązanie przekłada się na spełnienie wymogu zgodności projektowanych przepisów także z zasadą proporcjonalności tj. liczby uprawnionych diagnostów w stosunku do służby technicznej (certyfikowanej jednostki badawczej).</w:t>
            </w:r>
          </w:p>
          <w:p w14:paraId="6E9CFD48" w14:textId="77777777" w:rsidR="004D09B2" w:rsidRPr="00297ED7" w:rsidRDefault="004D09B2" w:rsidP="0042202B">
            <w:pPr>
              <w:rPr>
                <w:rFonts w:cstheme="minorHAnsi"/>
                <w:b/>
                <w:color w:val="0070C0"/>
              </w:rPr>
            </w:pPr>
            <w:r w:rsidRPr="00297ED7">
              <w:rPr>
                <w:rFonts w:cstheme="minorHAnsi"/>
                <w:b/>
                <w:color w:val="0070C0"/>
              </w:rPr>
              <w:t xml:space="preserve">W wyniku przeprowadzonej analizy stwierdzono, że przepisy projektu w zakresie wymagań, jakie powinien spełnić uprawniony diagnosta w celu wykonywania nowej procedury krajowego indywidualnego dopuszczenia pojazdu niebędącego nowym pojazdem nie są dyskryminujące ze względu na obywatelstwo lub miejsce zamieszkania. </w:t>
            </w:r>
          </w:p>
          <w:p w14:paraId="17ADAFB1" w14:textId="77777777" w:rsidR="004D09B2" w:rsidRPr="00297ED7" w:rsidRDefault="004D09B2" w:rsidP="0042202B">
            <w:pPr>
              <w:rPr>
                <w:rFonts w:cstheme="minorHAnsi"/>
                <w:b/>
                <w:color w:val="0070C0"/>
              </w:rPr>
            </w:pPr>
            <w:r w:rsidRPr="00297ED7">
              <w:rPr>
                <w:rFonts w:cstheme="minorHAnsi"/>
                <w:b/>
                <w:color w:val="0070C0"/>
              </w:rPr>
              <w:t xml:space="preserve">Projektowane przepisy są uzasadnione nadrzędnymi względami interesu ogólnego, jakim jest zapewnienie bezpieczeństwa ruchu drogowego oraz ochrony środowiska naturalnego. Uznano, że diagnosta, który wykonuje czynności o charakterze publicznoprawnym w systemie badań technicznych pojazdów będzie w stanie zrealizować, przy wykorzystaniu projektowanych przepisów prawnych i instrumentów technicznych, wskazane cele w procedurze krajowego indywidualnego dopuszczenia pojazdu niebędącego nowym pojazdem. </w:t>
            </w:r>
          </w:p>
          <w:p w14:paraId="662B2ADC" w14:textId="77777777" w:rsidR="004D09B2" w:rsidRDefault="004D09B2" w:rsidP="0042202B">
            <w:pPr>
              <w:rPr>
                <w:rFonts w:cstheme="minorHAnsi"/>
                <w:b/>
                <w:color w:val="0070C0"/>
              </w:rPr>
            </w:pPr>
            <w:r w:rsidRPr="00297ED7">
              <w:rPr>
                <w:rFonts w:cstheme="minorHAnsi"/>
                <w:b/>
                <w:color w:val="0070C0"/>
              </w:rPr>
              <w:t>Pomimo wprowadzonych przepisów przejściowych, o których mowa w art. 8 i 9 projektu (zawierających inne wymagania w odniesieniu do diagnosty, który uzyskał uprawnienie do wykonywania badań technicznych przed dniem wejścia w życie ustawy a diagnosty, który jest już zatrudniony przez przedsiębiorcę prowadzącego stację kontroli pojazdów w dniu wejścia w życie ustawy), przepisy są odpowiednie do zapewnienia osiągnięcia zamierzonych celów i nie wykraczają poza to, co jest konieczne do osiągnięcia tych celów. Odbycie jednodniowego szkolenia w zakresie krajowego indywidualnego dopuszczenia pojazdu niebędącego nowym pojazdem w terminie 12 miesięcy od dnia wejścia w życie niniejszej ustawy zostało ujęte jako równoznaczne z ukończeniem szkolenia i zdaniem egzaminu kwalifikacyjnego, o których mowa w art. 68g ust. 2 ustawy zmienianej w art. 1, z uwagi, że diagności, którzy są zatrudnieni już u przedsiębiorcy prowadzącego stację kontroli pojazdów mogą wykorzystać wiedzę z zakresu przeprowadzania badań technicznych w celu realizacji procedury krajowego indywidualnego dopuszczenia pojazdu niebędącego nowym pojazdem, a także zapewnić, że ta procedura będzie mogła zostać realizowana w możliwie krótkim czasie po wejściu w życie ustawy.</w:t>
            </w:r>
          </w:p>
          <w:p w14:paraId="3766E739" w14:textId="77777777" w:rsidR="00450239" w:rsidRDefault="00450239" w:rsidP="0042202B">
            <w:pPr>
              <w:rPr>
                <w:rFonts w:cstheme="minorHAnsi"/>
                <w:b/>
                <w:color w:val="0070C0"/>
              </w:rPr>
            </w:pPr>
          </w:p>
          <w:p w14:paraId="6F4968B6" w14:textId="2EF0DCA5" w:rsidR="00450239" w:rsidRPr="00450239" w:rsidRDefault="00450239" w:rsidP="0042202B">
            <w:pPr>
              <w:rPr>
                <w:rFonts w:cstheme="minorHAnsi"/>
                <w:b/>
                <w:color w:val="0070C0"/>
                <w:u w:val="single"/>
              </w:rPr>
            </w:pPr>
            <w:r w:rsidRPr="00450239">
              <w:rPr>
                <w:rFonts w:cstheme="minorHAnsi"/>
                <w:b/>
                <w:color w:val="0070C0"/>
                <w:u w:val="single"/>
              </w:rPr>
              <w:t xml:space="preserve">Patrz odniesienie pkt 123. </w:t>
            </w:r>
          </w:p>
          <w:p w14:paraId="1B530205" w14:textId="77777777" w:rsidR="00450239" w:rsidRDefault="00450239" w:rsidP="0042202B">
            <w:pPr>
              <w:rPr>
                <w:rFonts w:cstheme="minorHAnsi"/>
                <w:b/>
                <w:color w:val="0070C0"/>
              </w:rPr>
            </w:pPr>
          </w:p>
          <w:p w14:paraId="18FD4835" w14:textId="6E42FF8F" w:rsidR="00450239" w:rsidRPr="00297ED7" w:rsidRDefault="00450239" w:rsidP="0042202B">
            <w:pPr>
              <w:rPr>
                <w:rFonts w:cstheme="minorHAnsi"/>
                <w:b/>
                <w:color w:val="0070C0"/>
              </w:rPr>
            </w:pPr>
          </w:p>
        </w:tc>
      </w:tr>
      <w:tr w:rsidR="0075728B" w:rsidRPr="00C64601" w14:paraId="7F1C5CD4" w14:textId="47C7E0F6" w:rsidTr="00D76FE7">
        <w:tc>
          <w:tcPr>
            <w:tcW w:w="562" w:type="dxa"/>
          </w:tcPr>
          <w:p w14:paraId="686193B8" w14:textId="153EA94E" w:rsidR="0075728B" w:rsidRPr="00EA4BE8" w:rsidRDefault="0075728B" w:rsidP="0042202B">
            <w:pPr>
              <w:rPr>
                <w:rFonts w:cstheme="minorHAnsi"/>
                <w:b/>
              </w:rPr>
            </w:pPr>
            <w:r w:rsidRPr="00EA4BE8">
              <w:rPr>
                <w:rFonts w:cstheme="minorHAnsi"/>
                <w:b/>
              </w:rPr>
              <w:t>125</w:t>
            </w:r>
          </w:p>
        </w:tc>
        <w:tc>
          <w:tcPr>
            <w:tcW w:w="993" w:type="dxa"/>
          </w:tcPr>
          <w:p w14:paraId="66E75FBD" w14:textId="77777777" w:rsidR="0075728B" w:rsidRDefault="0075728B" w:rsidP="0042202B">
            <w:pPr>
              <w:rPr>
                <w:rFonts w:cstheme="minorHAnsi"/>
                <w:b/>
              </w:rPr>
            </w:pPr>
            <w:r w:rsidRPr="00EA4BE8">
              <w:rPr>
                <w:rFonts w:cstheme="minorHAnsi"/>
                <w:b/>
              </w:rPr>
              <w:t>MSZ (opinia ds.UE)</w:t>
            </w:r>
          </w:p>
          <w:p w14:paraId="1A48045F" w14:textId="77777777" w:rsidR="0075728B" w:rsidRDefault="0075728B" w:rsidP="0042202B">
            <w:pPr>
              <w:rPr>
                <w:rFonts w:cstheme="minorHAnsi"/>
                <w:b/>
                <w:color w:val="00B050"/>
              </w:rPr>
            </w:pPr>
            <w:r>
              <w:rPr>
                <w:rFonts w:cstheme="minorHAnsi"/>
                <w:b/>
                <w:color w:val="00B050"/>
              </w:rPr>
              <w:t xml:space="preserve">+ </w:t>
            </w:r>
          </w:p>
          <w:p w14:paraId="174386D1" w14:textId="3DE347D9" w:rsidR="0075728B" w:rsidRDefault="0075728B" w:rsidP="0042202B">
            <w:pPr>
              <w:rPr>
                <w:rFonts w:cstheme="minorHAnsi"/>
                <w:b/>
                <w:color w:val="00B050"/>
              </w:rPr>
            </w:pPr>
            <w:r>
              <w:rPr>
                <w:rFonts w:cstheme="minorHAnsi"/>
                <w:b/>
                <w:color w:val="00B050"/>
              </w:rPr>
              <w:t>uwaga 30 MNiSZW</w:t>
            </w:r>
          </w:p>
          <w:p w14:paraId="154A5409" w14:textId="77777777" w:rsidR="0075728B" w:rsidRPr="00CB4167" w:rsidRDefault="0075728B" w:rsidP="0042202B">
            <w:pPr>
              <w:rPr>
                <w:rFonts w:cstheme="minorHAnsi"/>
                <w:b/>
                <w:color w:val="00B050"/>
              </w:rPr>
            </w:pPr>
          </w:p>
          <w:p w14:paraId="026CF1BC" w14:textId="5E87B120" w:rsidR="0075728B" w:rsidRPr="00506A57" w:rsidRDefault="0075728B" w:rsidP="0042202B">
            <w:pPr>
              <w:rPr>
                <w:rFonts w:cstheme="minorHAnsi"/>
                <w:b/>
                <w:color w:val="00B050"/>
              </w:rPr>
            </w:pPr>
            <w:r>
              <w:rPr>
                <w:rFonts w:cstheme="minorHAnsi"/>
                <w:b/>
                <w:color w:val="00B050"/>
              </w:rPr>
              <w:t>+ uwaga 40 MFiG</w:t>
            </w:r>
          </w:p>
        </w:tc>
        <w:tc>
          <w:tcPr>
            <w:tcW w:w="1701" w:type="dxa"/>
          </w:tcPr>
          <w:p w14:paraId="28825E63" w14:textId="2060F4CD" w:rsidR="0075728B" w:rsidRPr="00EA4BE8" w:rsidRDefault="0075728B" w:rsidP="0042202B">
            <w:pPr>
              <w:rPr>
                <w:rFonts w:cstheme="minorHAnsi"/>
                <w:b/>
              </w:rPr>
            </w:pPr>
            <w:r w:rsidRPr="00EA4BE8">
              <w:rPr>
                <w:rFonts w:cstheme="minorHAnsi"/>
                <w:b/>
              </w:rPr>
              <w:t>Art. 68l ust. 9 pkt 1 UH</w:t>
            </w:r>
          </w:p>
        </w:tc>
        <w:tc>
          <w:tcPr>
            <w:tcW w:w="5953" w:type="dxa"/>
          </w:tcPr>
          <w:p w14:paraId="2C6BD270" w14:textId="2B9898D6" w:rsidR="0075728B" w:rsidRPr="00EA4BE8" w:rsidRDefault="0075728B" w:rsidP="0042202B">
            <w:pPr>
              <w:autoSpaceDE w:val="0"/>
              <w:autoSpaceDN w:val="0"/>
              <w:adjustRightInd w:val="0"/>
              <w:rPr>
                <w:rFonts w:cstheme="minorHAnsi"/>
                <w:b/>
              </w:rPr>
            </w:pPr>
            <w:r w:rsidRPr="00EA4BE8">
              <w:rPr>
                <w:rFonts w:cstheme="minorHAnsi"/>
                <w:b/>
              </w:rPr>
              <w:t>Zgodnie z art. 68l ust. 9 pkt 1 ustawy o systemach homologacji pojazdów oraz ich wyposażenia (art. 1 pkt 10 projektu ustawy) upoważnienie do prowadzenia szkolenia specjalistycznego w zakresie krajowego indywidualnego dopuszczenia pojazdu wydaje się przedsiębiorcy, jeżeli posiada siedzibę lub miejsce zamieszkania na terytorium Rzeczypospolitej Polskiej. W tym kontekście pragnę przypomnieć, że art. 49 Traktatu o funkcjonowaniu Unii Europejskiej zakazuje ograniczeń swobody przedsiębiorczości przez</w:t>
            </w:r>
            <w:r>
              <w:rPr>
                <w:rFonts w:cstheme="minorHAnsi"/>
                <w:b/>
              </w:rPr>
              <w:t xml:space="preserve"> </w:t>
            </w:r>
            <w:r w:rsidRPr="00EA4BE8">
              <w:rPr>
                <w:rFonts w:cstheme="minorHAnsi"/>
                <w:b/>
              </w:rPr>
              <w:t>obywateli jednego państwa członkowskiego na terytorium innego. Zakaz ten obejmuje również ograniczenia w tworzeniu i funkcjonowaniu oddziałów. W konsekwencji przedsiębiorcy z państw członkowskich powinni być uprawnieni do prowadzenia na terytorium Polski działalności gospodarczej w formie oddziału na takich samych zasadach, co przedsiębiorcy posiadający siedzibę w Polsce. Wprawdzie możliwe jest wprowadzenie odstępstwa od zasady traktowania narodowego, jednakże wyjątek taki powinien być uzasadniony względami nadrzędnego interesu publicznego i proporcjonalny do wskazanego celu. W odniesieniu do omawianego przepisu brak jest jednak takiego uzasadnienia.</w:t>
            </w:r>
          </w:p>
        </w:tc>
        <w:tc>
          <w:tcPr>
            <w:tcW w:w="3827" w:type="dxa"/>
          </w:tcPr>
          <w:p w14:paraId="652292AB" w14:textId="3D305EBC" w:rsidR="0075728B" w:rsidRDefault="0075728B" w:rsidP="0042202B">
            <w:pPr>
              <w:rPr>
                <w:rFonts w:cstheme="minorHAnsi"/>
                <w:b/>
              </w:rPr>
            </w:pPr>
            <w:r w:rsidRPr="007A5B68">
              <w:rPr>
                <w:rFonts w:cstheme="minorHAnsi"/>
                <w:b/>
              </w:rPr>
              <w:t>Uwaga uwzględniona poprzez uwzględnienie oddziału przedsiębiorcy zagranicznego wpisanego do KRS</w:t>
            </w:r>
            <w:r>
              <w:rPr>
                <w:rFonts w:cstheme="minorHAnsi"/>
                <w:b/>
              </w:rPr>
              <w:t>:</w:t>
            </w:r>
          </w:p>
          <w:p w14:paraId="0E1DF75B" w14:textId="77777777" w:rsidR="0075728B" w:rsidRDefault="0075728B" w:rsidP="0042202B">
            <w:pPr>
              <w:rPr>
                <w:rFonts w:cstheme="minorHAnsi"/>
                <w:b/>
              </w:rPr>
            </w:pPr>
          </w:p>
          <w:p w14:paraId="2EA719A1" w14:textId="5C218DD9" w:rsidR="0075728B" w:rsidRPr="00D379CE" w:rsidRDefault="0075728B" w:rsidP="0042202B">
            <w:pPr>
              <w:pStyle w:val="ZUSTzmustartykuempunktem"/>
              <w:spacing w:line="240" w:lineRule="auto"/>
              <w:ind w:left="0" w:firstLine="0"/>
              <w:jc w:val="left"/>
              <w:rPr>
                <w:rFonts w:asciiTheme="minorHAnsi" w:eastAsiaTheme="minorHAnsi" w:hAnsiTheme="minorHAnsi" w:cstheme="minorHAnsi"/>
                <w:b/>
                <w:i/>
                <w:sz w:val="22"/>
                <w:szCs w:val="22"/>
                <w:lang w:eastAsia="en-US"/>
              </w:rPr>
            </w:pPr>
            <w:r w:rsidRPr="00D379CE">
              <w:rPr>
                <w:rFonts w:asciiTheme="minorHAnsi" w:eastAsiaTheme="minorHAnsi" w:hAnsiTheme="minorHAnsi" w:cstheme="minorHAnsi"/>
                <w:b/>
                <w:i/>
                <w:sz w:val="22"/>
                <w:szCs w:val="22"/>
                <w:lang w:eastAsia="en-US"/>
              </w:rPr>
              <w:t>„Art. 68h. 6. Upoważnienie do prowadzenia szkolenia wydaje się przedsiębiorcy, jeżeli:</w:t>
            </w:r>
          </w:p>
          <w:p w14:paraId="5B8EF879" w14:textId="0DBD9601" w:rsidR="0075728B" w:rsidRPr="00D379CE" w:rsidRDefault="0075728B" w:rsidP="0042202B">
            <w:pPr>
              <w:pStyle w:val="ZUSTzmustartykuempunktem"/>
              <w:numPr>
                <w:ilvl w:val="0"/>
                <w:numId w:val="18"/>
              </w:numPr>
              <w:spacing w:line="240" w:lineRule="auto"/>
              <w:jc w:val="left"/>
              <w:rPr>
                <w:rFonts w:asciiTheme="minorHAnsi" w:eastAsiaTheme="minorHAnsi" w:hAnsiTheme="minorHAnsi" w:cstheme="minorHAnsi"/>
                <w:b/>
                <w:i/>
                <w:sz w:val="22"/>
                <w:szCs w:val="22"/>
                <w:lang w:eastAsia="en-US"/>
              </w:rPr>
            </w:pPr>
            <w:r w:rsidRPr="00D379CE">
              <w:rPr>
                <w:rFonts w:asciiTheme="minorHAnsi" w:eastAsiaTheme="minorHAnsi" w:hAnsiTheme="minorHAnsi" w:cstheme="minorHAnsi"/>
                <w:b/>
                <w:i/>
                <w:sz w:val="22"/>
                <w:szCs w:val="22"/>
                <w:lang w:eastAsia="en-US"/>
              </w:rPr>
              <w:t>posiada siedzibę, oddział lub miejsce zamieszkania na terytorium Rzeczypospolitej Polskiej;”</w:t>
            </w:r>
          </w:p>
          <w:p w14:paraId="3F74CE55" w14:textId="7A619F02" w:rsidR="0075728B" w:rsidRPr="00EA4BE8" w:rsidRDefault="0075728B" w:rsidP="0042202B">
            <w:pPr>
              <w:rPr>
                <w:rFonts w:cstheme="minorHAnsi"/>
                <w:b/>
              </w:rPr>
            </w:pPr>
            <w:r w:rsidRPr="007A5B68">
              <w:rPr>
                <w:rFonts w:cstheme="minorHAnsi"/>
                <w:b/>
              </w:rPr>
              <w:t xml:space="preserve"> </w:t>
            </w:r>
          </w:p>
        </w:tc>
        <w:tc>
          <w:tcPr>
            <w:tcW w:w="3686" w:type="dxa"/>
          </w:tcPr>
          <w:p w14:paraId="7387DCB6" w14:textId="77777777" w:rsidR="0075728B" w:rsidRDefault="0075728B" w:rsidP="0042202B">
            <w:pPr>
              <w:rPr>
                <w:rFonts w:cstheme="minorHAnsi"/>
                <w:b/>
              </w:rPr>
            </w:pPr>
            <w:r>
              <w:rPr>
                <w:rFonts w:cstheme="minorHAnsi"/>
                <w:b/>
              </w:rPr>
              <w:t>Akceptacja</w:t>
            </w:r>
          </w:p>
          <w:p w14:paraId="18283D21" w14:textId="77777777" w:rsidR="00450239" w:rsidRDefault="00450239" w:rsidP="0042202B">
            <w:pPr>
              <w:rPr>
                <w:rFonts w:cstheme="minorHAnsi"/>
                <w:b/>
              </w:rPr>
            </w:pPr>
          </w:p>
          <w:p w14:paraId="5ABDE744" w14:textId="77777777" w:rsidR="00450239" w:rsidRPr="00450239" w:rsidRDefault="00450239" w:rsidP="00450239">
            <w:pPr>
              <w:rPr>
                <w:rFonts w:cstheme="minorHAnsi"/>
                <w:b/>
                <w:color w:val="0070C0"/>
                <w:u w:val="single"/>
              </w:rPr>
            </w:pPr>
            <w:r w:rsidRPr="00450239">
              <w:rPr>
                <w:rFonts w:cstheme="minorHAnsi"/>
                <w:b/>
                <w:color w:val="0070C0"/>
                <w:u w:val="single"/>
              </w:rPr>
              <w:t xml:space="preserve">Patrz odniesienie pkt 123. </w:t>
            </w:r>
          </w:p>
          <w:p w14:paraId="5A0E10B0" w14:textId="3E2B249C" w:rsidR="00450239" w:rsidRPr="007A5B68" w:rsidRDefault="00450239" w:rsidP="0042202B">
            <w:pPr>
              <w:rPr>
                <w:rFonts w:cstheme="minorHAnsi"/>
                <w:b/>
              </w:rPr>
            </w:pPr>
          </w:p>
        </w:tc>
      </w:tr>
      <w:tr w:rsidR="0075728B" w:rsidRPr="00C64601" w14:paraId="705820B1" w14:textId="68A3092D" w:rsidTr="00D76FE7">
        <w:tc>
          <w:tcPr>
            <w:tcW w:w="562" w:type="dxa"/>
          </w:tcPr>
          <w:p w14:paraId="7E223BEE" w14:textId="1973916F" w:rsidR="0075728B" w:rsidRPr="00D379CE" w:rsidRDefault="0075728B" w:rsidP="0042202B">
            <w:pPr>
              <w:rPr>
                <w:rFonts w:cstheme="minorHAnsi"/>
                <w:b/>
              </w:rPr>
            </w:pPr>
            <w:r w:rsidRPr="00D379CE">
              <w:rPr>
                <w:rFonts w:cstheme="minorHAnsi"/>
                <w:b/>
              </w:rPr>
              <w:t>126</w:t>
            </w:r>
          </w:p>
        </w:tc>
        <w:tc>
          <w:tcPr>
            <w:tcW w:w="993" w:type="dxa"/>
          </w:tcPr>
          <w:p w14:paraId="57180984" w14:textId="77777777" w:rsidR="0075728B" w:rsidRDefault="0075728B" w:rsidP="0042202B">
            <w:pPr>
              <w:rPr>
                <w:rFonts w:cstheme="minorHAnsi"/>
                <w:b/>
              </w:rPr>
            </w:pPr>
            <w:r w:rsidRPr="00D379CE">
              <w:rPr>
                <w:rFonts w:cstheme="minorHAnsi"/>
                <w:b/>
              </w:rPr>
              <w:t>MSZ (opinia ds.UE)</w:t>
            </w:r>
          </w:p>
          <w:p w14:paraId="27A8F1D0" w14:textId="77777777" w:rsidR="0075728B" w:rsidRDefault="0075728B" w:rsidP="0042202B">
            <w:pPr>
              <w:rPr>
                <w:rFonts w:cstheme="minorHAnsi"/>
                <w:b/>
              </w:rPr>
            </w:pPr>
          </w:p>
          <w:p w14:paraId="1751879D" w14:textId="77777777" w:rsidR="0075728B" w:rsidRDefault="0075728B" w:rsidP="0042202B">
            <w:pPr>
              <w:rPr>
                <w:rFonts w:cstheme="minorHAnsi"/>
                <w:b/>
                <w:color w:val="00B050"/>
              </w:rPr>
            </w:pPr>
            <w:r>
              <w:rPr>
                <w:rFonts w:cstheme="minorHAnsi"/>
                <w:b/>
                <w:color w:val="00B050"/>
              </w:rPr>
              <w:t>+ uwaga 14 RCL (art. 68s ust. 2-3)</w:t>
            </w:r>
          </w:p>
          <w:p w14:paraId="2DCC5DB7" w14:textId="77777777" w:rsidR="0075728B" w:rsidRDefault="0075728B" w:rsidP="0042202B">
            <w:pPr>
              <w:rPr>
                <w:rFonts w:cstheme="minorHAnsi"/>
                <w:b/>
                <w:color w:val="00B050"/>
              </w:rPr>
            </w:pPr>
          </w:p>
          <w:p w14:paraId="1433FA7E" w14:textId="77777777" w:rsidR="0075728B" w:rsidRDefault="0075728B" w:rsidP="0042202B">
            <w:pPr>
              <w:rPr>
                <w:rFonts w:cstheme="minorHAnsi"/>
                <w:b/>
                <w:color w:val="00B050"/>
              </w:rPr>
            </w:pPr>
            <w:r>
              <w:rPr>
                <w:rFonts w:cstheme="minorHAnsi"/>
                <w:b/>
                <w:color w:val="00B050"/>
              </w:rPr>
              <w:t>+ uwaga 43 MC (art. 68s ust. 3-4)</w:t>
            </w:r>
          </w:p>
          <w:p w14:paraId="291D726A" w14:textId="64FC3FAC" w:rsidR="0075728B" w:rsidRDefault="0075728B" w:rsidP="0042202B"/>
          <w:p w14:paraId="026210AD" w14:textId="3E3E61EC" w:rsidR="0075728B" w:rsidRPr="00D379CE" w:rsidRDefault="0075728B" w:rsidP="0042202B">
            <w:pPr>
              <w:rPr>
                <w:rFonts w:cstheme="minorHAnsi"/>
                <w:b/>
              </w:rPr>
            </w:pPr>
          </w:p>
        </w:tc>
        <w:tc>
          <w:tcPr>
            <w:tcW w:w="1701" w:type="dxa"/>
          </w:tcPr>
          <w:p w14:paraId="07267007" w14:textId="5BDEA27C" w:rsidR="0075728B" w:rsidRPr="00D379CE" w:rsidRDefault="0075728B" w:rsidP="0042202B">
            <w:pPr>
              <w:rPr>
                <w:rFonts w:cstheme="minorHAnsi"/>
                <w:b/>
              </w:rPr>
            </w:pPr>
            <w:r w:rsidRPr="00D379CE">
              <w:rPr>
                <w:rFonts w:cstheme="minorHAnsi"/>
                <w:b/>
              </w:rPr>
              <w:t>Art. 68s ust. 2 UH</w:t>
            </w:r>
          </w:p>
        </w:tc>
        <w:tc>
          <w:tcPr>
            <w:tcW w:w="5953" w:type="dxa"/>
          </w:tcPr>
          <w:p w14:paraId="2BB5E5D9" w14:textId="00E71504" w:rsidR="0075728B" w:rsidRPr="00D379CE" w:rsidRDefault="0075728B" w:rsidP="0042202B">
            <w:pPr>
              <w:autoSpaceDE w:val="0"/>
              <w:autoSpaceDN w:val="0"/>
              <w:adjustRightInd w:val="0"/>
              <w:rPr>
                <w:rFonts w:cstheme="minorHAnsi"/>
                <w:b/>
              </w:rPr>
            </w:pPr>
            <w:r w:rsidRPr="00D379CE">
              <w:rPr>
                <w:rFonts w:cstheme="minorHAnsi"/>
                <w:b/>
              </w:rPr>
              <w:t>Projektowany art. 68s ust. 2 ustawy o systemach homologacji pojazdów oraz ich wyposażenia (art. 1 pkt 10 projektu ustawy) przyznaje Dyrektorowi TDT możliwość korzystania z danych o osobie, w tym również w formie zapisu elektronicznego, uzyskanych przez inne organy, służby i instytucje państwowe w wyniku wykonywania czynności w zakresie nadzoru rynku. Na tej podstawie będzie dochodzić do udostępniania danych w innym celu niż zostały pierwotnie zebrane przez inne organy, służby instytucje państwowe – każdy z tych organów ma bowiem inny zakres zadań oraz inny zakres kontroli/nadzoru związany z tymi zadaniami. Projektowane regulacje należy zatem ocenić w świetle art. 6 ust. 4 rozporządzenia Parlamentu Europejskiego i Rady (UE) 2016/679 z dnia 27 kwietnia 2016 r. w sprawie ochrony osób fizycznych w związku z przetwarzaniem danych osobowych i w</w:t>
            </w:r>
          </w:p>
          <w:p w14:paraId="3E50F305" w14:textId="074B0B9F" w:rsidR="0075728B" w:rsidRPr="00D379CE" w:rsidRDefault="0075728B" w:rsidP="0042202B">
            <w:pPr>
              <w:autoSpaceDE w:val="0"/>
              <w:autoSpaceDN w:val="0"/>
              <w:adjustRightInd w:val="0"/>
              <w:rPr>
                <w:rFonts w:cstheme="minorHAnsi"/>
                <w:b/>
              </w:rPr>
            </w:pPr>
            <w:r w:rsidRPr="00D379CE">
              <w:rPr>
                <w:rFonts w:cstheme="minorHAnsi"/>
                <w:b/>
              </w:rPr>
              <w:t>sprawie swobodnego przepływu takich danych oraz uchylenia dyrektywy 95/46/WE (ogólne rozporządzenie o ochronie danych). Zgodnie z tym przepisem, jeżeli przetwarzanie w celu innym niż cel, w którym dane osobowe zostały zebrane, nie odbywa się na podstawie zgody osoby, której dane dotyczą, ani prawa Unii lub prawa państwa członkowskiego stanowiących w demokratycznym społeczeństwie niezbędny i proporcjonalny środek służący zagwarantowaniu celów, o których mowa w art. 23 ust. 1 rozporządzenia 2016/679, administrator – aby ustalić, czy przetwarzanie w innym celu jest zgodne z celem, w którym dane osobowe zostały pierwotnie zebrane – bierze pod uwagę między innymi:</w:t>
            </w:r>
          </w:p>
          <w:p w14:paraId="146F4D1B" w14:textId="123D98E0" w:rsidR="0075728B" w:rsidRPr="00D379CE" w:rsidRDefault="0075728B" w:rsidP="0042202B">
            <w:pPr>
              <w:autoSpaceDE w:val="0"/>
              <w:autoSpaceDN w:val="0"/>
              <w:adjustRightInd w:val="0"/>
              <w:rPr>
                <w:rFonts w:cstheme="minorHAnsi"/>
                <w:b/>
              </w:rPr>
            </w:pPr>
            <w:r w:rsidRPr="00D379CE">
              <w:rPr>
                <w:rFonts w:cstheme="minorHAnsi"/>
                <w:b/>
              </w:rPr>
              <w:t>a) wszelkie związki między celami, w których zebrano dane osobowe, a celami zamierzonego dalszego przetwarzania;</w:t>
            </w:r>
          </w:p>
          <w:p w14:paraId="1A2D72E1" w14:textId="0E7FF3A9" w:rsidR="0075728B" w:rsidRPr="00D379CE" w:rsidRDefault="0075728B" w:rsidP="0042202B">
            <w:pPr>
              <w:autoSpaceDE w:val="0"/>
              <w:autoSpaceDN w:val="0"/>
              <w:adjustRightInd w:val="0"/>
              <w:rPr>
                <w:rFonts w:cstheme="minorHAnsi"/>
                <w:b/>
              </w:rPr>
            </w:pPr>
            <w:r w:rsidRPr="00D379CE">
              <w:rPr>
                <w:rFonts w:cstheme="minorHAnsi"/>
                <w:b/>
              </w:rPr>
              <w:t>b) kontekst, w którym zebrano dane osobowe, w szczególności relację między osobami, których dane dotyczą, a administratorem;</w:t>
            </w:r>
          </w:p>
          <w:p w14:paraId="382CE179" w14:textId="54F47F7B" w:rsidR="0075728B" w:rsidRPr="00D379CE" w:rsidRDefault="0075728B" w:rsidP="0042202B">
            <w:pPr>
              <w:autoSpaceDE w:val="0"/>
              <w:autoSpaceDN w:val="0"/>
              <w:adjustRightInd w:val="0"/>
              <w:rPr>
                <w:rFonts w:cstheme="minorHAnsi"/>
                <w:b/>
              </w:rPr>
            </w:pPr>
            <w:r w:rsidRPr="00D379CE">
              <w:rPr>
                <w:rFonts w:cstheme="minorHAnsi"/>
                <w:b/>
              </w:rPr>
              <w:t>c) charakter danych osobowych, w szczególności czy przetwarzane są szczególne kategorie danych osobowych zgodnie z art. 9 lub dane osobowe dotyczące wyroków skazujących i naruszeń prawa zgodnie z art. 10;</w:t>
            </w:r>
          </w:p>
          <w:p w14:paraId="27568655" w14:textId="120278AE" w:rsidR="0075728B" w:rsidRPr="00D379CE" w:rsidRDefault="0075728B" w:rsidP="0042202B">
            <w:pPr>
              <w:autoSpaceDE w:val="0"/>
              <w:autoSpaceDN w:val="0"/>
              <w:adjustRightInd w:val="0"/>
              <w:rPr>
                <w:rFonts w:cstheme="minorHAnsi"/>
                <w:b/>
              </w:rPr>
            </w:pPr>
            <w:r w:rsidRPr="00D379CE">
              <w:rPr>
                <w:rFonts w:cstheme="minorHAnsi"/>
                <w:b/>
              </w:rPr>
              <w:t>d) ewentualne konsekwencje zamierzonego dalszego przetwarzania dla osób, których dane dotyczą;</w:t>
            </w:r>
          </w:p>
          <w:p w14:paraId="6FF67365" w14:textId="3ACFB917" w:rsidR="0075728B" w:rsidRPr="00D379CE" w:rsidRDefault="0075728B" w:rsidP="0042202B">
            <w:pPr>
              <w:autoSpaceDE w:val="0"/>
              <w:autoSpaceDN w:val="0"/>
              <w:adjustRightInd w:val="0"/>
              <w:rPr>
                <w:rFonts w:cstheme="minorHAnsi"/>
                <w:b/>
              </w:rPr>
            </w:pPr>
            <w:r w:rsidRPr="00D379CE">
              <w:rPr>
                <w:rFonts w:cstheme="minorHAnsi"/>
                <w:b/>
              </w:rPr>
              <w:t>e) istnienie odpowiednich zabezpieczeń, w tym ewentualnie szyfrowania lub pseudonimizacji.</w:t>
            </w:r>
          </w:p>
          <w:p w14:paraId="76DEF6F1" w14:textId="3D21A7D0" w:rsidR="0075728B" w:rsidRPr="00D379CE" w:rsidRDefault="0075728B" w:rsidP="0042202B">
            <w:pPr>
              <w:autoSpaceDE w:val="0"/>
              <w:autoSpaceDN w:val="0"/>
              <w:adjustRightInd w:val="0"/>
              <w:rPr>
                <w:rFonts w:cstheme="minorHAnsi"/>
                <w:b/>
              </w:rPr>
            </w:pPr>
            <w:r w:rsidRPr="00D379CE">
              <w:rPr>
                <w:rFonts w:cstheme="minorHAnsi"/>
                <w:b/>
              </w:rPr>
              <w:t>Z art. 6 ust. 4 rozporządzenia 2016/679 wynika zatem, że administrator danych osobowych, który chce zmienić cel przetwarzania danych osobowych musi, co do zasady, przeprowadzić szczegółową analizę zgodności nowego celu z poprzednim celem przetwarzania danych osobowych uwzględniając wskazane w tym przepisie kryteria. Wyjątek od</w:t>
            </w:r>
          </w:p>
          <w:p w14:paraId="1D443444" w14:textId="79C24333" w:rsidR="0075728B" w:rsidRPr="00D379CE" w:rsidRDefault="0075728B" w:rsidP="0042202B">
            <w:pPr>
              <w:autoSpaceDE w:val="0"/>
              <w:autoSpaceDN w:val="0"/>
              <w:adjustRightInd w:val="0"/>
              <w:rPr>
                <w:rFonts w:cstheme="minorHAnsi"/>
                <w:b/>
              </w:rPr>
            </w:pPr>
            <w:r w:rsidRPr="00D379CE">
              <w:rPr>
                <w:rFonts w:cstheme="minorHAnsi"/>
                <w:b/>
              </w:rPr>
              <w:t>tej zasady dotyczy sytuacji, gdy zmiana celu opiera się na zgodzie osoby, której dotyczą dane albo ma podstawę w przepisach prawa. Jednak zmiana celu oparta na przepisach prawa jest ograniczona wyłącznie do przypadków stanowiących w demokratycznym społeczeństwie niezbędny i proporcjonalny środek służący zagwarantowaniu celów, o których mowa w art. 23 ust. 1 rozporządzenia 2016/679 (np. bezpieczeństwo narodowe lub publiczne, czy zapobieganie przestępczości).</w:t>
            </w:r>
          </w:p>
          <w:p w14:paraId="6C2BE497" w14:textId="76CCD13E" w:rsidR="0075728B" w:rsidRPr="00D379CE" w:rsidRDefault="0075728B" w:rsidP="0042202B">
            <w:pPr>
              <w:autoSpaceDE w:val="0"/>
              <w:autoSpaceDN w:val="0"/>
              <w:adjustRightInd w:val="0"/>
              <w:rPr>
                <w:rFonts w:cstheme="minorHAnsi"/>
                <w:b/>
              </w:rPr>
            </w:pPr>
            <w:r w:rsidRPr="00D379CE">
              <w:rPr>
                <w:rFonts w:cstheme="minorHAnsi"/>
                <w:b/>
              </w:rPr>
              <w:t>W związku z tym możliwość przetwarzania danych osobowych w innych celach niż te, do których zebrane powinna zostać zawężona do celów mieszczących się w zakresie wyjątków, o których mowa w art. 23 ust. 1 rozporządzenia 2016/679, szczególnie że część zadań dyrektora TDT, określonych w projektowanym art. 68s ust. 1 ustawy, nie wydaje się mieścić z tych kategoriach. Jednocześnie konieczne jest przedstawienie wyjaśnień przez projektodawcę, w świetle której z podstaw wskazanych w art. 23 rozporządzenia 2016/679 uważa za niezbędne zmianę celów przetwarzania</w:t>
            </w:r>
          </w:p>
          <w:p w14:paraId="2F101BE5" w14:textId="0197D492" w:rsidR="0075728B" w:rsidRPr="00D379CE" w:rsidRDefault="0075728B" w:rsidP="0042202B">
            <w:pPr>
              <w:autoSpaceDE w:val="0"/>
              <w:autoSpaceDN w:val="0"/>
              <w:adjustRightInd w:val="0"/>
              <w:rPr>
                <w:rFonts w:cstheme="minorHAnsi"/>
                <w:b/>
              </w:rPr>
            </w:pPr>
            <w:r w:rsidRPr="00D379CE">
              <w:rPr>
                <w:rFonts w:cstheme="minorHAnsi"/>
                <w:b/>
              </w:rPr>
              <w:t>danych osobowych w innym celu niż cel, w którym dane zostały pierwotnie zebrane.</w:t>
            </w:r>
          </w:p>
          <w:p w14:paraId="68A47257" w14:textId="259CA543" w:rsidR="0075728B" w:rsidRPr="00D379CE" w:rsidRDefault="0075728B" w:rsidP="0042202B">
            <w:pPr>
              <w:autoSpaceDE w:val="0"/>
              <w:autoSpaceDN w:val="0"/>
              <w:adjustRightInd w:val="0"/>
              <w:rPr>
                <w:rFonts w:cstheme="minorHAnsi"/>
                <w:b/>
              </w:rPr>
            </w:pPr>
            <w:r w:rsidRPr="00D379CE">
              <w:rPr>
                <w:rFonts w:cstheme="minorHAnsi"/>
                <w:b/>
              </w:rPr>
              <w:t>Ponadto zwracam uwagę na to, że zgodnie z ww. wymogami przetwarzanie danych osobowych po zmianie celu może odbywać się wyłącznie w zakresie niezbędnym do nowego celu. Również zgodnie z art. 5 ust. 1 lit. c) rozporządzenia 2016/679 dane osobowe muszą być adekwatne, stosowne oraz ograniczone do tego, co niezbędne do celów, w których są przetwarzane („minimalizacja danych”). Tymczasem projektowany art. 68s ust. 2 ustawy o systemach homologacji pojazdów oraz ich wyposażenia po pierwsze nie zawiera wskazania, że pozyskane dane mogą być przetwarzane do realizacji zadań ustawowych, wynikających z projektowanej ustawy, należy go zatem odpowiednio</w:t>
            </w:r>
            <w:r>
              <w:rPr>
                <w:rFonts w:cstheme="minorHAnsi"/>
                <w:b/>
              </w:rPr>
              <w:t xml:space="preserve"> </w:t>
            </w:r>
            <w:r w:rsidRPr="00D379CE">
              <w:rPr>
                <w:rFonts w:cstheme="minorHAnsi"/>
                <w:b/>
              </w:rPr>
              <w:t>doprecyzować. Ponadto przepis ten powinien zostać zawężony, tak by wskazywał, że można udostępniać (a dyrektor TDT może przetwarzać) dane o osobie jedynie w zakresie niezbędnym do tych określonych, ustawowych zadań.</w:t>
            </w:r>
          </w:p>
        </w:tc>
        <w:tc>
          <w:tcPr>
            <w:tcW w:w="3827" w:type="dxa"/>
          </w:tcPr>
          <w:p w14:paraId="1E6273E5" w14:textId="77777777" w:rsidR="0075728B" w:rsidRPr="00F90C7B" w:rsidRDefault="0075728B" w:rsidP="0042202B">
            <w:pPr>
              <w:rPr>
                <w:b/>
              </w:rPr>
            </w:pPr>
            <w:r w:rsidRPr="00F90C7B">
              <w:rPr>
                <w:b/>
              </w:rPr>
              <w:t>Uwaga nieuwzględniona - Administrator, w tym przypadku TDT, będzie przetwarzał dane na podstawie obowiązku prawnego, o którym mowa w art. 6 ust. 1 lit. c RODO.</w:t>
            </w:r>
            <w:r w:rsidRPr="00F90C7B">
              <w:rPr>
                <w:rFonts w:ascii="EUAlbertina" w:hAnsi="EUAlbertina"/>
                <w:b/>
                <w:color w:val="000000"/>
                <w:sz w:val="19"/>
                <w:szCs w:val="19"/>
              </w:rPr>
              <w:t xml:space="preserve"> </w:t>
            </w:r>
            <w:r w:rsidRPr="00F90C7B">
              <w:rPr>
                <w:b/>
              </w:rPr>
              <w:t>RODO nie nakłada wymogu, aby dla każdego indywidualnego przetwarzania istniało szczegółowe uregulowanie prawne. Wystarczyć może to, że dane uregulowanie prawne stanowią podstawę różnych operacji przetwarzania wynikających z obowiązku prawnego, któremu podlega administrator, jak w opisanym przypadku.</w:t>
            </w:r>
          </w:p>
          <w:p w14:paraId="4204D6C2" w14:textId="77777777" w:rsidR="0075728B" w:rsidRPr="00EF5D80" w:rsidRDefault="0075728B" w:rsidP="0042202B">
            <w:pPr>
              <w:rPr>
                <w:b/>
              </w:rPr>
            </w:pPr>
          </w:p>
          <w:p w14:paraId="407F6CAC" w14:textId="4EAFA927" w:rsidR="0075728B" w:rsidRDefault="0075728B" w:rsidP="0042202B">
            <w:pPr>
              <w:rPr>
                <w:rFonts w:cstheme="minorHAnsi"/>
              </w:rPr>
            </w:pPr>
            <w:r w:rsidRPr="00EF5D80">
              <w:rPr>
                <w:rFonts w:cstheme="minorHAnsi"/>
                <w:b/>
              </w:rPr>
              <w:t xml:space="preserve">Prezes Urzędu Danych Osobowych nie zgłosił uwag do projektu. </w:t>
            </w:r>
          </w:p>
          <w:p w14:paraId="07C3747A" w14:textId="1F2BC719" w:rsidR="0075728B" w:rsidRPr="00F515D6" w:rsidRDefault="0075728B" w:rsidP="0042202B">
            <w:pPr>
              <w:rPr>
                <w:rFonts w:cstheme="minorHAnsi"/>
              </w:rPr>
            </w:pPr>
          </w:p>
        </w:tc>
        <w:tc>
          <w:tcPr>
            <w:tcW w:w="3686" w:type="dxa"/>
          </w:tcPr>
          <w:p w14:paraId="74F45DC4" w14:textId="77777777" w:rsidR="0075728B" w:rsidRDefault="0075728B" w:rsidP="0042202B">
            <w:pPr>
              <w:rPr>
                <w:b/>
              </w:rPr>
            </w:pPr>
            <w:r>
              <w:rPr>
                <w:b/>
              </w:rPr>
              <w:t xml:space="preserve">Do konsultacji z UODO – </w:t>
            </w:r>
            <w:r w:rsidR="00657F53">
              <w:rPr>
                <w:b/>
              </w:rPr>
              <w:t xml:space="preserve">poinformujemy MSZ o wynikach ustaleń </w:t>
            </w:r>
          </w:p>
          <w:p w14:paraId="67EC547D" w14:textId="77777777" w:rsidR="004D09B2" w:rsidRDefault="004D09B2" w:rsidP="0042202B">
            <w:pPr>
              <w:rPr>
                <w:b/>
              </w:rPr>
            </w:pPr>
          </w:p>
          <w:p w14:paraId="5BED35FB" w14:textId="5285EE2E" w:rsidR="00E64CC3" w:rsidRPr="00E64CC3" w:rsidRDefault="004D09B2" w:rsidP="0042202B">
            <w:pPr>
              <w:rPr>
                <w:b/>
                <w:color w:val="0070C0"/>
              </w:rPr>
            </w:pPr>
            <w:r w:rsidRPr="00E64CC3">
              <w:rPr>
                <w:b/>
                <w:color w:val="0070C0"/>
              </w:rPr>
              <w:t xml:space="preserve">Przekazano korespondencję z UODO – akceptacja </w:t>
            </w:r>
            <w:r w:rsidR="00E64CC3">
              <w:rPr>
                <w:b/>
                <w:color w:val="0070C0"/>
              </w:rPr>
              <w:t xml:space="preserve">przez MSZ </w:t>
            </w:r>
            <w:r w:rsidRPr="00E64CC3">
              <w:rPr>
                <w:b/>
                <w:color w:val="0070C0"/>
              </w:rPr>
              <w:t xml:space="preserve">art. 68v + nowy zapis w art. </w:t>
            </w:r>
            <w:r w:rsidR="00E64CC3" w:rsidRPr="00E64CC3">
              <w:rPr>
                <w:b/>
                <w:color w:val="0070C0"/>
              </w:rPr>
              <w:t>6</w:t>
            </w:r>
            <w:r w:rsidR="00E64CC3">
              <w:rPr>
                <w:b/>
                <w:color w:val="0070C0"/>
              </w:rPr>
              <w:t>8</w:t>
            </w:r>
            <w:r w:rsidR="00E64CC3" w:rsidRPr="00E64CC3">
              <w:rPr>
                <w:b/>
                <w:color w:val="0070C0"/>
              </w:rPr>
              <w:t>za ust. 6:</w:t>
            </w:r>
          </w:p>
          <w:p w14:paraId="55E1E805" w14:textId="77777777" w:rsidR="00E64CC3" w:rsidRPr="00E64CC3" w:rsidRDefault="00E64CC3" w:rsidP="0042202B">
            <w:pPr>
              <w:rPr>
                <w:color w:val="0070C0"/>
              </w:rPr>
            </w:pPr>
          </w:p>
          <w:p w14:paraId="09E8CBC8" w14:textId="363CCF1A" w:rsidR="00E64CC3" w:rsidRPr="00E64CC3" w:rsidRDefault="00E64CC3" w:rsidP="0042202B">
            <w:pPr>
              <w:rPr>
                <w:b/>
                <w:color w:val="0070C0"/>
              </w:rPr>
            </w:pPr>
            <w:r w:rsidRPr="00E64CC3">
              <w:rPr>
                <w:b/>
                <w:color w:val="0070C0"/>
              </w:rPr>
              <w:t xml:space="preserve">6. Dyrektor TDT jako organ nadzoru rynku przechowuje zapis z utrwalonych czynności kontrolnych, o których mowa w ust. 3 oraz informatyczne nośniki danych, o których mowa w ust. 5, przez okres pięciu lat od dnia zakończenia kontroli. </w:t>
            </w:r>
          </w:p>
          <w:p w14:paraId="291D6D1E" w14:textId="77777777" w:rsidR="00E64CC3" w:rsidRDefault="00E64CC3" w:rsidP="0042202B">
            <w:pPr>
              <w:rPr>
                <w:b/>
              </w:rPr>
            </w:pPr>
          </w:p>
          <w:p w14:paraId="57B235FD" w14:textId="77777777" w:rsidR="00450239" w:rsidRDefault="00450239" w:rsidP="0042202B">
            <w:pPr>
              <w:rPr>
                <w:b/>
              </w:rPr>
            </w:pPr>
          </w:p>
          <w:p w14:paraId="6ACDFF34" w14:textId="77777777" w:rsidR="00450239" w:rsidRPr="00450239" w:rsidRDefault="00450239" w:rsidP="00450239">
            <w:pPr>
              <w:rPr>
                <w:rFonts w:cstheme="minorHAnsi"/>
                <w:b/>
                <w:color w:val="0070C0"/>
                <w:u w:val="single"/>
              </w:rPr>
            </w:pPr>
            <w:r w:rsidRPr="00450239">
              <w:rPr>
                <w:rFonts w:cstheme="minorHAnsi"/>
                <w:b/>
                <w:color w:val="0070C0"/>
                <w:u w:val="single"/>
              </w:rPr>
              <w:t xml:space="preserve">Patrz odniesienie pkt 123. </w:t>
            </w:r>
          </w:p>
          <w:p w14:paraId="51A3EA00" w14:textId="68EFEF0A" w:rsidR="00450239" w:rsidRPr="00F90C7B" w:rsidRDefault="00450239" w:rsidP="0042202B">
            <w:pPr>
              <w:rPr>
                <w:b/>
              </w:rPr>
            </w:pPr>
          </w:p>
        </w:tc>
      </w:tr>
      <w:tr w:rsidR="0075728B" w:rsidRPr="00C64601" w14:paraId="170D4E01" w14:textId="1854D5FF" w:rsidTr="00D76FE7">
        <w:tc>
          <w:tcPr>
            <w:tcW w:w="562" w:type="dxa"/>
          </w:tcPr>
          <w:p w14:paraId="7FEB253A" w14:textId="2E1A59F7" w:rsidR="0075728B" w:rsidRPr="00D34F23" w:rsidRDefault="0075728B" w:rsidP="0042202B">
            <w:pPr>
              <w:rPr>
                <w:rFonts w:cstheme="minorHAnsi"/>
                <w:b/>
              </w:rPr>
            </w:pPr>
            <w:r w:rsidRPr="00D34F23">
              <w:rPr>
                <w:rFonts w:cstheme="minorHAnsi"/>
                <w:b/>
              </w:rPr>
              <w:t>127</w:t>
            </w:r>
          </w:p>
        </w:tc>
        <w:tc>
          <w:tcPr>
            <w:tcW w:w="993" w:type="dxa"/>
          </w:tcPr>
          <w:p w14:paraId="7B0016E1" w14:textId="7A3F7CBD" w:rsidR="0075728B" w:rsidRPr="00D34F23" w:rsidRDefault="0075728B" w:rsidP="0042202B">
            <w:pPr>
              <w:rPr>
                <w:rFonts w:cstheme="minorHAnsi"/>
                <w:b/>
              </w:rPr>
            </w:pPr>
            <w:r w:rsidRPr="00D34F23">
              <w:rPr>
                <w:rFonts w:cstheme="minorHAnsi"/>
                <w:b/>
              </w:rPr>
              <w:t>MSZ (opinia ds.UE)</w:t>
            </w:r>
          </w:p>
        </w:tc>
        <w:tc>
          <w:tcPr>
            <w:tcW w:w="1701" w:type="dxa"/>
          </w:tcPr>
          <w:p w14:paraId="4D7ABCD5" w14:textId="33BC860C" w:rsidR="0075728B" w:rsidRPr="00D34F23" w:rsidRDefault="0075728B" w:rsidP="0042202B">
            <w:pPr>
              <w:rPr>
                <w:rFonts w:cstheme="minorHAnsi"/>
                <w:b/>
              </w:rPr>
            </w:pPr>
            <w:r w:rsidRPr="00D34F23">
              <w:rPr>
                <w:rFonts w:cstheme="minorHAnsi"/>
                <w:b/>
              </w:rPr>
              <w:t>Art. 68y UH</w:t>
            </w:r>
          </w:p>
        </w:tc>
        <w:tc>
          <w:tcPr>
            <w:tcW w:w="5953" w:type="dxa"/>
          </w:tcPr>
          <w:p w14:paraId="3E602BCB" w14:textId="1DD792D2" w:rsidR="0075728B" w:rsidRPr="00D34F23" w:rsidRDefault="0075728B" w:rsidP="0042202B">
            <w:pPr>
              <w:autoSpaceDE w:val="0"/>
              <w:autoSpaceDN w:val="0"/>
              <w:adjustRightInd w:val="0"/>
              <w:rPr>
                <w:rFonts w:cstheme="minorHAnsi"/>
                <w:b/>
              </w:rPr>
            </w:pPr>
            <w:r w:rsidRPr="00D34F23">
              <w:rPr>
                <w:rFonts w:cstheme="minorHAnsi"/>
                <w:b/>
              </w:rPr>
              <w:t>Na podstawie art. 5 ust. 1 lit. f) rozporządzenia 2016/679 dane muszą być przetwarzane w sposób zapewniający odpowiednie bezpieczeństwo danych osobowych, w tym ochronę przed niedozwolonym lub niezgodnym z prawem przetwarzaniem oraz przypadkową utratą, zniszczeniem lub uszkodzeniem, za pomocą odpowiednich środków technicznych lub</w:t>
            </w:r>
          </w:p>
          <w:p w14:paraId="7AC9608A" w14:textId="4D7E376C" w:rsidR="0075728B" w:rsidRPr="00D34F23" w:rsidRDefault="0075728B" w:rsidP="0042202B">
            <w:pPr>
              <w:autoSpaceDE w:val="0"/>
              <w:autoSpaceDN w:val="0"/>
              <w:adjustRightInd w:val="0"/>
              <w:rPr>
                <w:rFonts w:cstheme="minorHAnsi"/>
                <w:b/>
              </w:rPr>
            </w:pPr>
            <w:r w:rsidRPr="00D34F23">
              <w:rPr>
                <w:rFonts w:cstheme="minorHAnsi"/>
                <w:b/>
              </w:rPr>
              <w:t xml:space="preserve">organizacyjnych („integralność i poufność”). Oznacza to, że dostęp do zarejestrowanego obrazu zawierającego dane osobowe powinien być ograniczony wyłącznie do upoważnionych osób. Projektowany art. 68y ustawy o systemach homologacji pojazdów oraz ich wyposażenia (art. 1 pkt 10 projektu ustawy), który dotyczy kontroli – w tym jego ust. 4-6 wprowadzające możliwość rejestracji obrazu i dźwięku – nie zawiera regulacji w tym zakresie. </w:t>
            </w:r>
          </w:p>
          <w:p w14:paraId="78AB2465" w14:textId="5FA58C3F" w:rsidR="0075728B" w:rsidRPr="00D34F23" w:rsidRDefault="0075728B" w:rsidP="0042202B">
            <w:pPr>
              <w:autoSpaceDE w:val="0"/>
              <w:autoSpaceDN w:val="0"/>
              <w:adjustRightInd w:val="0"/>
              <w:rPr>
                <w:rFonts w:cstheme="minorHAnsi"/>
                <w:b/>
              </w:rPr>
            </w:pPr>
            <w:r w:rsidRPr="00D34F23">
              <w:rPr>
                <w:rFonts w:cstheme="minorHAnsi"/>
                <w:b/>
              </w:rPr>
              <w:t>W związku z tym zasadne wydaje się odpowiednie doprecyzowanie go pod tym kątem lub przedstawienie wyjaśnień, w jaki sposób gwarancje w tym zakresie będą spełniane.</w:t>
            </w:r>
          </w:p>
        </w:tc>
        <w:tc>
          <w:tcPr>
            <w:tcW w:w="3827" w:type="dxa"/>
          </w:tcPr>
          <w:p w14:paraId="326654F3" w14:textId="07635D20" w:rsidR="0075728B" w:rsidRPr="00D34F23" w:rsidRDefault="0075728B" w:rsidP="0042202B">
            <w:pPr>
              <w:rPr>
                <w:b/>
              </w:rPr>
            </w:pPr>
            <w:r>
              <w:rPr>
                <w:b/>
              </w:rPr>
              <w:t>Uwaga wyjaśniona - p</w:t>
            </w:r>
            <w:r w:rsidRPr="00D34F23">
              <w:rPr>
                <w:b/>
              </w:rPr>
              <w:t>rojektowany art. 68y ustawy o systemach homologacji pojazdów oraz ich wyposażenia</w:t>
            </w:r>
            <w:r>
              <w:rPr>
                <w:b/>
              </w:rPr>
              <w:t xml:space="preserve"> </w:t>
            </w:r>
            <w:r w:rsidRPr="00D34F23">
              <w:rPr>
                <w:b/>
              </w:rPr>
              <w:t xml:space="preserve">– w tym jego ust. 4-6 wprowadzające możliwość rejestracji obrazu i dźwięku </w:t>
            </w:r>
            <w:r>
              <w:rPr>
                <w:b/>
              </w:rPr>
              <w:t xml:space="preserve">- </w:t>
            </w:r>
            <w:r w:rsidRPr="00D34F23">
              <w:rPr>
                <w:b/>
              </w:rPr>
              <w:t xml:space="preserve">należy czytać łącznie z pozostałymi przepisami ustawy, a zwłaszcza w połączeniu z art. 68x: </w:t>
            </w:r>
            <w:r w:rsidRPr="00D34F23">
              <w:rPr>
                <w:b/>
                <w:i/>
              </w:rPr>
              <w:t xml:space="preserve">„Art. 68x. 1. </w:t>
            </w:r>
            <w:r w:rsidRPr="00D34F23">
              <w:rPr>
                <w:b/>
                <w:bCs/>
                <w:i/>
              </w:rPr>
              <w:t>Czynności kontrolne</w:t>
            </w:r>
            <w:r w:rsidRPr="00D34F23">
              <w:rPr>
                <w:b/>
                <w:i/>
              </w:rPr>
              <w:t xml:space="preserve"> w stosunku do kontrolowanego pojazdu, przedmiotu wyposażenia lub części, </w:t>
            </w:r>
            <w:r w:rsidRPr="00D34F23">
              <w:rPr>
                <w:b/>
                <w:bCs/>
                <w:i/>
              </w:rPr>
              <w:t>w imieniu Dyrektora TDT jako organu nadzoru rynku</w:t>
            </w:r>
            <w:r w:rsidRPr="00D34F23">
              <w:rPr>
                <w:b/>
                <w:i/>
              </w:rPr>
              <w:t xml:space="preserve">, </w:t>
            </w:r>
            <w:r w:rsidRPr="00D34F23">
              <w:rPr>
                <w:b/>
                <w:bCs/>
                <w:i/>
              </w:rPr>
              <w:t xml:space="preserve">wykonują pracownicy </w:t>
            </w:r>
            <w:r>
              <w:rPr>
                <w:b/>
                <w:bCs/>
                <w:i/>
              </w:rPr>
              <w:t xml:space="preserve">Transportowego Dozoru Technicznego </w:t>
            </w:r>
            <w:r w:rsidRPr="00D34F23">
              <w:rPr>
                <w:b/>
                <w:bCs/>
                <w:i/>
              </w:rPr>
              <w:t xml:space="preserve">lub osoby upoważnione </w:t>
            </w:r>
            <w:r>
              <w:rPr>
                <w:b/>
                <w:bCs/>
                <w:i/>
              </w:rPr>
              <w:t xml:space="preserve">przez Dyrektora TDT </w:t>
            </w:r>
            <w:r w:rsidRPr="00D34F23">
              <w:rPr>
                <w:b/>
                <w:bCs/>
                <w:i/>
              </w:rPr>
              <w:t>do kontroli</w:t>
            </w:r>
            <w:r>
              <w:rPr>
                <w:b/>
                <w:bCs/>
                <w:i/>
              </w:rPr>
              <w:t xml:space="preserve"> w jego imieniu</w:t>
            </w:r>
            <w:r w:rsidRPr="00D34F23">
              <w:rPr>
                <w:b/>
                <w:bCs/>
                <w:i/>
              </w:rPr>
              <w:t>, zwani dalej „kontrolującymi”,</w:t>
            </w:r>
            <w:r w:rsidRPr="004F55DD">
              <w:rPr>
                <w:b/>
                <w:bCs/>
                <w:i/>
              </w:rPr>
              <w:t xml:space="preserve"> na podstawie upoważnienia do przeprowadzania kontroli.”</w:t>
            </w:r>
          </w:p>
          <w:p w14:paraId="0DF2BAAF" w14:textId="77777777" w:rsidR="0075728B" w:rsidRPr="00D34F23" w:rsidRDefault="0075728B" w:rsidP="0042202B">
            <w:pPr>
              <w:rPr>
                <w:b/>
              </w:rPr>
            </w:pPr>
            <w:r w:rsidRPr="00D34F23">
              <w:rPr>
                <w:b/>
              </w:rPr>
              <w:t>Wszelkie czynności kontrolne i inne w ramach sprawowania nadzoru rynku, w imieniu Dyrektora TDT jako organu nadzoru rynku, podejmowane będą w granicach określonych przepisami prawa, a pracownicy TDT posiadać będą stosowne upoważnienia.</w:t>
            </w:r>
          </w:p>
          <w:p w14:paraId="4BACA8F4" w14:textId="09F853CB" w:rsidR="0075728B" w:rsidRDefault="0075728B" w:rsidP="0042202B">
            <w:pPr>
              <w:rPr>
                <w:b/>
              </w:rPr>
            </w:pPr>
            <w:r w:rsidRPr="00D34F23">
              <w:rPr>
                <w:b/>
              </w:rPr>
              <w:t>Na administratorze, czyli Dyrektorze TDT, spoczywa oczywiście obowiązek wymagany przez RODO polegający na zapewnieniu bezpieczeństwa danych osobowych zgodnie z zasadą „integralności i poufności”. Realizowany on jest  poprzez wdrożenie odpowiednich środków organizacyjnych i technicznych ochrony danych, które nie są zdefiniowane w RODO. W praktyce jest to bardzo szerokie pojęcie. Ogólnie rzecz biorąc, można wskazać, że środki organizacyjne i techniczne ochrony danych to wszelkie działania, czynności, rozwiązania wdrożone lub podejmowane przez administratora, które mają na celu zapewnienie odpowiednego bezpieczeństwa danych osobowych. Jednym z takich środków są, w szczególności, wskazane w powyższym przepisie upoważnienia.</w:t>
            </w:r>
          </w:p>
          <w:p w14:paraId="16B34AF2" w14:textId="77777777" w:rsidR="0075728B" w:rsidRPr="008A2B9F" w:rsidRDefault="0075728B" w:rsidP="0042202B">
            <w:pPr>
              <w:rPr>
                <w:b/>
              </w:rPr>
            </w:pPr>
          </w:p>
          <w:p w14:paraId="58A041E8" w14:textId="39FD4091" w:rsidR="0075728B" w:rsidRPr="00D34F23" w:rsidRDefault="0075728B" w:rsidP="0042202B">
            <w:pPr>
              <w:rPr>
                <w:rFonts w:cstheme="minorHAnsi"/>
                <w:b/>
              </w:rPr>
            </w:pPr>
            <w:r w:rsidRPr="00D34F23">
              <w:rPr>
                <w:rFonts w:cstheme="minorHAnsi"/>
                <w:b/>
              </w:rPr>
              <w:t>Prezes Urzędu Ochrony Danych Osobowych nie zgłosił uwag do UC95</w:t>
            </w:r>
            <w:r>
              <w:rPr>
                <w:rFonts w:cstheme="minorHAnsi"/>
                <w:b/>
              </w:rPr>
              <w:t xml:space="preserve">. </w:t>
            </w:r>
          </w:p>
        </w:tc>
        <w:tc>
          <w:tcPr>
            <w:tcW w:w="3686" w:type="dxa"/>
          </w:tcPr>
          <w:p w14:paraId="7E331E0B" w14:textId="77777777" w:rsidR="0075728B" w:rsidRDefault="00657F53" w:rsidP="0042202B">
            <w:pPr>
              <w:rPr>
                <w:b/>
              </w:rPr>
            </w:pPr>
            <w:r>
              <w:rPr>
                <w:b/>
              </w:rPr>
              <w:t>Do konsultacji z UODO – poinformujemy MSZ o wynikach ustaleń</w:t>
            </w:r>
          </w:p>
          <w:p w14:paraId="4FC6A41F" w14:textId="77777777" w:rsidR="00E64CC3" w:rsidRDefault="00E64CC3" w:rsidP="0042202B">
            <w:pPr>
              <w:rPr>
                <w:b/>
              </w:rPr>
            </w:pPr>
          </w:p>
          <w:p w14:paraId="129312E1" w14:textId="77777777" w:rsidR="00E64CC3" w:rsidRPr="00E64CC3" w:rsidRDefault="00E64CC3" w:rsidP="0042202B">
            <w:pPr>
              <w:rPr>
                <w:b/>
                <w:color w:val="0070C0"/>
              </w:rPr>
            </w:pPr>
            <w:r w:rsidRPr="00E64CC3">
              <w:rPr>
                <w:b/>
                <w:color w:val="0070C0"/>
              </w:rPr>
              <w:t xml:space="preserve">Przekazano korespondencję z UODO – akceptacja </w:t>
            </w:r>
            <w:r>
              <w:rPr>
                <w:b/>
                <w:color w:val="0070C0"/>
              </w:rPr>
              <w:t xml:space="preserve">przez MSZ </w:t>
            </w:r>
            <w:r w:rsidRPr="00E64CC3">
              <w:rPr>
                <w:b/>
                <w:color w:val="0070C0"/>
              </w:rPr>
              <w:t>art. 68v + nowy zapis w art. 6</w:t>
            </w:r>
            <w:r>
              <w:rPr>
                <w:b/>
                <w:color w:val="0070C0"/>
              </w:rPr>
              <w:t>8</w:t>
            </w:r>
            <w:r w:rsidRPr="00E64CC3">
              <w:rPr>
                <w:b/>
                <w:color w:val="0070C0"/>
              </w:rPr>
              <w:t>za ust. 6:</w:t>
            </w:r>
          </w:p>
          <w:p w14:paraId="2F47FE82" w14:textId="77777777" w:rsidR="00E64CC3" w:rsidRPr="00E64CC3" w:rsidRDefault="00E64CC3" w:rsidP="0042202B">
            <w:pPr>
              <w:rPr>
                <w:color w:val="0070C0"/>
              </w:rPr>
            </w:pPr>
          </w:p>
          <w:p w14:paraId="77FB809D" w14:textId="77777777" w:rsidR="00E64CC3" w:rsidRPr="00E64CC3" w:rsidRDefault="00E64CC3" w:rsidP="0042202B">
            <w:pPr>
              <w:rPr>
                <w:b/>
                <w:color w:val="0070C0"/>
              </w:rPr>
            </w:pPr>
            <w:r w:rsidRPr="00E64CC3">
              <w:rPr>
                <w:b/>
                <w:color w:val="0070C0"/>
              </w:rPr>
              <w:t xml:space="preserve">6. Dyrektor TDT jako organ nadzoru rynku przechowuje zapis z utrwalonych czynności kontrolnych, o których mowa w ust. 3 oraz informatyczne nośniki danych, o których mowa w ust. 5, przez okres pięciu lat od dnia zakończenia kontroli. </w:t>
            </w:r>
          </w:p>
          <w:p w14:paraId="35FD6BB7" w14:textId="77777777" w:rsidR="00E64CC3" w:rsidRDefault="00E64CC3" w:rsidP="0042202B">
            <w:pPr>
              <w:rPr>
                <w:b/>
              </w:rPr>
            </w:pPr>
          </w:p>
          <w:p w14:paraId="43F40E03" w14:textId="77777777" w:rsidR="00450239" w:rsidRDefault="00450239" w:rsidP="0042202B">
            <w:pPr>
              <w:rPr>
                <w:b/>
              </w:rPr>
            </w:pPr>
          </w:p>
          <w:p w14:paraId="04CA6D93" w14:textId="77777777" w:rsidR="00450239" w:rsidRPr="00450239" w:rsidRDefault="00450239" w:rsidP="00450239">
            <w:pPr>
              <w:rPr>
                <w:rFonts w:cstheme="minorHAnsi"/>
                <w:b/>
                <w:color w:val="0070C0"/>
                <w:u w:val="single"/>
              </w:rPr>
            </w:pPr>
            <w:r w:rsidRPr="00450239">
              <w:rPr>
                <w:rFonts w:cstheme="minorHAnsi"/>
                <w:b/>
                <w:color w:val="0070C0"/>
                <w:u w:val="single"/>
              </w:rPr>
              <w:t xml:space="preserve">Patrz odniesienie pkt 123. </w:t>
            </w:r>
          </w:p>
          <w:p w14:paraId="09A262DE" w14:textId="561A246B" w:rsidR="00450239" w:rsidRDefault="00450239" w:rsidP="0042202B">
            <w:pPr>
              <w:rPr>
                <w:b/>
              </w:rPr>
            </w:pPr>
          </w:p>
        </w:tc>
      </w:tr>
      <w:tr w:rsidR="0075728B" w:rsidRPr="00C64601" w14:paraId="3141DF4A" w14:textId="35B7A036" w:rsidTr="00D76FE7">
        <w:tc>
          <w:tcPr>
            <w:tcW w:w="562" w:type="dxa"/>
          </w:tcPr>
          <w:p w14:paraId="74764557" w14:textId="765EED56" w:rsidR="0075728B" w:rsidRPr="006146B4" w:rsidRDefault="0075728B" w:rsidP="0042202B">
            <w:pPr>
              <w:rPr>
                <w:rFonts w:cstheme="minorHAnsi"/>
                <w:b/>
              </w:rPr>
            </w:pPr>
            <w:r w:rsidRPr="006146B4">
              <w:rPr>
                <w:rFonts w:cstheme="minorHAnsi"/>
                <w:b/>
              </w:rPr>
              <w:t>128</w:t>
            </w:r>
          </w:p>
        </w:tc>
        <w:tc>
          <w:tcPr>
            <w:tcW w:w="993" w:type="dxa"/>
          </w:tcPr>
          <w:p w14:paraId="784F17A8" w14:textId="482E00AB" w:rsidR="0075728B" w:rsidRPr="006146B4" w:rsidRDefault="0075728B" w:rsidP="0042202B">
            <w:pPr>
              <w:rPr>
                <w:rFonts w:cstheme="minorHAnsi"/>
                <w:b/>
              </w:rPr>
            </w:pPr>
            <w:r w:rsidRPr="006146B4">
              <w:rPr>
                <w:rFonts w:cstheme="minorHAnsi"/>
                <w:b/>
              </w:rPr>
              <w:t>MSZ (opinia ds. UE)</w:t>
            </w:r>
          </w:p>
        </w:tc>
        <w:tc>
          <w:tcPr>
            <w:tcW w:w="1701" w:type="dxa"/>
          </w:tcPr>
          <w:p w14:paraId="0D4B8E62" w14:textId="554A4EF5" w:rsidR="0075728B" w:rsidRPr="006146B4" w:rsidRDefault="0075728B" w:rsidP="0042202B">
            <w:pPr>
              <w:rPr>
                <w:rFonts w:cstheme="minorHAnsi"/>
                <w:b/>
              </w:rPr>
            </w:pPr>
            <w:r w:rsidRPr="006146B4">
              <w:rPr>
                <w:rFonts w:cstheme="minorHAnsi"/>
                <w:b/>
              </w:rPr>
              <w:t>Art. 68z ust. 2 i art. 68zj ust. 2 UH</w:t>
            </w:r>
          </w:p>
        </w:tc>
        <w:tc>
          <w:tcPr>
            <w:tcW w:w="5953" w:type="dxa"/>
          </w:tcPr>
          <w:p w14:paraId="5CE81D6E" w14:textId="17720608" w:rsidR="0075728B" w:rsidRPr="006146B4" w:rsidRDefault="0075728B" w:rsidP="0042202B">
            <w:pPr>
              <w:autoSpaceDE w:val="0"/>
              <w:autoSpaceDN w:val="0"/>
              <w:adjustRightInd w:val="0"/>
              <w:rPr>
                <w:rFonts w:cstheme="minorHAnsi"/>
                <w:b/>
              </w:rPr>
            </w:pPr>
            <w:r w:rsidRPr="006146B4">
              <w:rPr>
                <w:rFonts w:cstheme="minorHAnsi"/>
                <w:b/>
              </w:rPr>
              <w:t>Zgodnie z projektowanym art. 68z ust. 2 ustawy o systemach homologacji pojazdów oraz ich wyposażenia (art. 1 pkt 10 projektu ustawy) w celu poddania pojazdu, przedmiotu wyposażenia lub części badaniom Dyrektor TDT jako organ nadzoru rynku pobiera nieodpłatnie pojazdy, przedmioty wyposażenia lub części w ilościach niezbędnych do przeprowadzenia badań lub dokonuje ich zakupu online. Z kolei zgodnie z ust. 3 projektowanego przepisu wraz z pobraniem pojazdu, przedmiotu wyposażenia lub części należy pobrać i zabezpieczyć, o ile jest to możliwe, dodatkowy pojazd, przedmiot wyposażenia lub cześć w ilości odpowiadającej ilości pobranej do badań, zwany dalej „próbką kontrolną”.</w:t>
            </w:r>
          </w:p>
          <w:p w14:paraId="7B063279" w14:textId="2C0BA8E0" w:rsidR="0075728B" w:rsidRPr="006146B4" w:rsidRDefault="0075728B" w:rsidP="0042202B">
            <w:pPr>
              <w:autoSpaceDE w:val="0"/>
              <w:autoSpaceDN w:val="0"/>
              <w:adjustRightInd w:val="0"/>
              <w:rPr>
                <w:rFonts w:cstheme="minorHAnsi"/>
                <w:b/>
              </w:rPr>
            </w:pPr>
            <w:r w:rsidRPr="006146B4">
              <w:rPr>
                <w:rFonts w:cstheme="minorHAnsi"/>
                <w:b/>
              </w:rPr>
              <w:t>W tabeli zgodności wskazano, że przepis ten wykonuje art. 8 ust. 1 rozporządzenia 168/20133, art. 7 ust. 1 rozporządzenia 167/2013 oraz art. 8 ust. 1 rozporządzenia 2018/858. Przywołane przepisy nie przewidują jednak tak daleko idących uprawnień organów nadzoru rynku w toku prowadzonych kontroli. Należy zauważyć, że zgodnie z art. 17 ust. 1 Karty praw podstawowych Unii Europejskiej nikt nie może być pozbawiony swojej własności, chyba że w interesie publicznym, w przypadkach i na warunkach przewidzianych w ustawie, za słusznym odszkodowaniem za jej utratę wypłaconym we właściwym terminie. Projektowany art. 86z ust. 2 przewiduje natomiast pobieranie pojazdów nieodpłatnie i w ilościach, które nie zostały precyzyjnie ograniczone. Stosowanie tego przepisu może zatem prowadzić do naruszenia art. 8 ust. 1 rozporządzenia 168/2013, art. 7 ust. 1 rozporządzenia 167/2013 oraz art. 8 ust. 1 rozporządzenia 2018/85 w zw. z art. 17 Karty.</w:t>
            </w:r>
          </w:p>
          <w:p w14:paraId="26A1ECF1" w14:textId="78C600FE" w:rsidR="0075728B" w:rsidRPr="006146B4" w:rsidRDefault="0075728B" w:rsidP="0042202B">
            <w:pPr>
              <w:autoSpaceDE w:val="0"/>
              <w:autoSpaceDN w:val="0"/>
              <w:adjustRightInd w:val="0"/>
              <w:rPr>
                <w:rFonts w:cstheme="minorHAnsi"/>
                <w:b/>
              </w:rPr>
            </w:pPr>
            <w:r w:rsidRPr="006146B4">
              <w:rPr>
                <w:rFonts w:cstheme="minorHAnsi"/>
                <w:b/>
              </w:rPr>
              <w:t>Uwaga ta odnosi się także do projektowanego art. 68zj ust. 2 ustawy o systemach homologacji pojazdów oraz ich wyposażenia (art. 1 pkt 10 projektu) zgodnie z którym pojazdy, przedmioty wyposażenia lub części pobierane są od podmiotów gospodarczych nieodpłatnie przez Dyrektora TDT jako organ nadzoru rynku.</w:t>
            </w:r>
          </w:p>
        </w:tc>
        <w:tc>
          <w:tcPr>
            <w:tcW w:w="3827" w:type="dxa"/>
          </w:tcPr>
          <w:p w14:paraId="09B3BF94" w14:textId="22D61E26" w:rsidR="0075728B" w:rsidRPr="006146B4" w:rsidRDefault="0075728B" w:rsidP="0042202B">
            <w:pPr>
              <w:rPr>
                <w:rFonts w:cstheme="minorHAnsi"/>
                <w:b/>
              </w:rPr>
            </w:pPr>
            <w:r w:rsidRPr="006146B4">
              <w:rPr>
                <w:rFonts w:cstheme="minorHAnsi"/>
                <w:b/>
              </w:rPr>
              <w:t>Uwaga wyjaśniona –</w:t>
            </w:r>
            <w:r>
              <w:rPr>
                <w:rFonts w:cstheme="minorHAnsi"/>
                <w:b/>
              </w:rPr>
              <w:t xml:space="preserve"> </w:t>
            </w:r>
            <w:r w:rsidRPr="006146B4">
              <w:rPr>
                <w:rFonts w:cstheme="minorHAnsi"/>
                <w:b/>
              </w:rPr>
              <w:t>należy zauważyć, że celem projektowanego przepisu w zakresie nadzoru rynku jest zapewnienie</w:t>
            </w:r>
            <w:r>
              <w:rPr>
                <w:rFonts w:cstheme="minorHAnsi"/>
                <w:b/>
              </w:rPr>
              <w:t>,</w:t>
            </w:r>
            <w:r w:rsidRPr="006146B4">
              <w:rPr>
                <w:rFonts w:cstheme="minorHAnsi"/>
                <w:b/>
              </w:rPr>
              <w:t xml:space="preserve"> aby działania i środki podejmowane przez organ nadzoru rynku </w:t>
            </w:r>
            <w:r>
              <w:rPr>
                <w:rFonts w:cstheme="minorHAnsi"/>
                <w:b/>
              </w:rPr>
              <w:t>gwarantowały</w:t>
            </w:r>
            <w:r w:rsidRPr="006146B4">
              <w:rPr>
                <w:rFonts w:cstheme="minorHAnsi"/>
                <w:b/>
              </w:rPr>
              <w:t>, aby pojazdy, przedmioty wyposażenia oraz części udostępniane na rynku spełniały wymogi określone w odpowiednim unijnym prawodawstwie harmonizacyjnym oraz nie zagrażały zdrowiu, bezpieczeństwu, środowisku ani żadnemu innemu aspektowi ochrony interesu publicznego</w:t>
            </w:r>
            <w:r>
              <w:rPr>
                <w:rFonts w:cstheme="minorHAnsi"/>
                <w:b/>
              </w:rPr>
              <w:t xml:space="preserve">, </w:t>
            </w:r>
            <w:r w:rsidRPr="006146B4">
              <w:rPr>
                <w:rFonts w:cstheme="minorHAnsi"/>
                <w:b/>
              </w:rPr>
              <w:t>w szczególności takiemu jak bezpieczeństwo ruchu drogowego.</w:t>
            </w:r>
          </w:p>
          <w:p w14:paraId="4FC957B9" w14:textId="77777777" w:rsidR="0075728B" w:rsidRPr="006146B4" w:rsidRDefault="0075728B" w:rsidP="0042202B">
            <w:pPr>
              <w:rPr>
                <w:rFonts w:cstheme="minorHAnsi"/>
                <w:b/>
              </w:rPr>
            </w:pPr>
            <w:r w:rsidRPr="006146B4">
              <w:rPr>
                <w:rFonts w:cstheme="minorHAnsi"/>
                <w:b/>
              </w:rPr>
              <w:t>Nieodpłatne pobranie próbek do badań przez organ nadzoru rynku nie stanowi wyłączenia stosowania przepisów TFUE czy Karty praw podstawowych Unii Europejskiej, lecz jest działaniem wykonywanym na podstawie i w celu realizacji tych przepisów. Działanie to opiera się na następujących zasadach:</w:t>
            </w:r>
          </w:p>
          <w:p w14:paraId="7A372E91" w14:textId="77777777" w:rsidR="0075728B" w:rsidRPr="006146B4" w:rsidRDefault="0075728B" w:rsidP="0042202B">
            <w:pPr>
              <w:pStyle w:val="Akapitzlist"/>
              <w:numPr>
                <w:ilvl w:val="0"/>
                <w:numId w:val="15"/>
              </w:numPr>
              <w:spacing w:line="259" w:lineRule="auto"/>
              <w:rPr>
                <w:rFonts w:cstheme="minorHAnsi"/>
                <w:b/>
                <w:sz w:val="22"/>
                <w:szCs w:val="22"/>
              </w:rPr>
            </w:pPr>
            <w:r w:rsidRPr="006146B4">
              <w:rPr>
                <w:rFonts w:cstheme="minorHAnsi"/>
                <w:b/>
                <w:sz w:val="22"/>
                <w:szCs w:val="22"/>
              </w:rPr>
              <w:t>Podstawa w prawie unijnym. Uprawnienie organu nadzoru rynku do pobierania próbek (często bezpłatnie) wynika bezpośrednio z unijnych aktów prawnych, takich jak rozporządzenie (UE) 2019/1020 w sprawie nadzoru rynku i zgodności produktów. Zgodnie z jego przepisami, organy nadzoru ryku muszą mieć możliwość wejścia do obiektów i pobrania próbek produktów w celu weryfikacji ich zgodności z wymaganiami.</w:t>
            </w:r>
          </w:p>
          <w:p w14:paraId="32027321" w14:textId="1CADA43D" w:rsidR="0075728B" w:rsidRPr="006146B4" w:rsidRDefault="0075728B" w:rsidP="0042202B">
            <w:pPr>
              <w:pStyle w:val="Akapitzlist"/>
              <w:numPr>
                <w:ilvl w:val="0"/>
                <w:numId w:val="15"/>
              </w:numPr>
              <w:spacing w:line="259" w:lineRule="auto"/>
              <w:rPr>
                <w:rFonts w:cstheme="minorHAnsi"/>
                <w:b/>
                <w:sz w:val="22"/>
                <w:szCs w:val="22"/>
              </w:rPr>
            </w:pPr>
            <w:r w:rsidRPr="006146B4">
              <w:rPr>
                <w:rFonts w:cstheme="minorHAnsi"/>
                <w:b/>
                <w:sz w:val="22"/>
                <w:szCs w:val="22"/>
              </w:rPr>
              <w:t>Ochrona interesu publicznego. Takie działanie jest uznawane za proporcjonalny środek służący ochronie zdrowia, bezpieczeństwa użytkowników końcowych oraz środowiska, co jest zgodne z celami TFUE (m.in. art. 36 TFUE, które pozwala na ograniczenia swobodnego przepływu towarów uzasadnione ochroną zdrowia i bezpieczeństwa).</w:t>
            </w:r>
          </w:p>
          <w:p w14:paraId="2307759B" w14:textId="77777777" w:rsidR="0075728B" w:rsidRPr="006146B4" w:rsidRDefault="0075728B" w:rsidP="0042202B">
            <w:pPr>
              <w:pStyle w:val="Akapitzlist"/>
              <w:numPr>
                <w:ilvl w:val="0"/>
                <w:numId w:val="15"/>
              </w:numPr>
              <w:spacing w:line="259" w:lineRule="auto"/>
              <w:rPr>
                <w:rFonts w:cstheme="minorHAnsi"/>
                <w:b/>
                <w:sz w:val="22"/>
                <w:szCs w:val="22"/>
              </w:rPr>
            </w:pPr>
            <w:r w:rsidRPr="006146B4">
              <w:rPr>
                <w:rFonts w:cstheme="minorHAnsi"/>
                <w:b/>
                <w:sz w:val="22"/>
                <w:szCs w:val="22"/>
              </w:rPr>
              <w:t>Krajowe przepisy wykonawcze. W Polsce uszczegółowienie tych zasad można znaleźć m.in. w ustawie o systemach oceny zgodności i nadzoru rynku.</w:t>
            </w:r>
          </w:p>
          <w:p w14:paraId="7037931F" w14:textId="44FAEF99" w:rsidR="0075728B" w:rsidRPr="006146B4" w:rsidRDefault="0075728B" w:rsidP="0042202B">
            <w:pPr>
              <w:pStyle w:val="Akapitzlist"/>
              <w:numPr>
                <w:ilvl w:val="0"/>
                <w:numId w:val="15"/>
              </w:numPr>
              <w:spacing w:line="259" w:lineRule="auto"/>
              <w:rPr>
                <w:rFonts w:cstheme="minorHAnsi"/>
                <w:b/>
                <w:sz w:val="22"/>
                <w:szCs w:val="22"/>
              </w:rPr>
            </w:pPr>
            <w:r w:rsidRPr="006146B4">
              <w:rPr>
                <w:rFonts w:cstheme="minorHAnsi"/>
                <w:b/>
                <w:sz w:val="22"/>
                <w:szCs w:val="22"/>
              </w:rPr>
              <w:t>Charakter nieodpłatny. Choć pobranie jest nieodpłatne, projektowany przepis przewiduje mechanizmy ochronne dla podmiotów gospodarczych w postaci zwrotu próbki, niezależnie od tego czy badania wykażą niezgodności.</w:t>
            </w:r>
          </w:p>
          <w:p w14:paraId="220522C3" w14:textId="75CFBB27" w:rsidR="0075728B" w:rsidRDefault="0075728B" w:rsidP="0042202B">
            <w:pPr>
              <w:rPr>
                <w:rFonts w:cstheme="minorHAnsi"/>
                <w:b/>
              </w:rPr>
            </w:pPr>
            <w:r w:rsidRPr="006146B4">
              <w:rPr>
                <w:rFonts w:cstheme="minorHAnsi"/>
                <w:b/>
              </w:rPr>
              <w:t xml:space="preserve">Z uwagi na szczególne zagrożenia i konsekwencje dla użytkowników końcowych jak i postronnych dostęp do rynku pojazdów silnikowych jest regulowany zarówno na poziomie UE, jak i krajowym poprzez postawione w rozporządzeniach 167/2013, 168/2013 oraz 2018/858 wymagania podmiotom gospodarczym dotyczące obowiązku spełnienia określonych procedur homologacyjnych potwierdzających zgodność wprowadzanych na rynek pojazdów, przedmiotów wyposażenia oraz części. </w:t>
            </w:r>
            <w:r w:rsidRPr="00BC4C92">
              <w:rPr>
                <w:rFonts w:cstheme="minorHAnsi"/>
                <w:b/>
              </w:rPr>
              <w:t>Wskazane wyżej przepisy UE nie zabraniają zastosowania rozwiązania</w:t>
            </w:r>
            <w:r>
              <w:rPr>
                <w:rFonts w:cstheme="minorHAnsi"/>
                <w:b/>
              </w:rPr>
              <w:t xml:space="preserve"> w zakresie</w:t>
            </w:r>
            <w:r w:rsidRPr="00BC4C92">
              <w:rPr>
                <w:rFonts w:cstheme="minorHAnsi"/>
                <w:b/>
              </w:rPr>
              <w:t xml:space="preserve"> nieodpłatnego pozyskiwania próbek do badań przez organy nadzoru rynku.</w:t>
            </w:r>
            <w:r w:rsidRPr="006146B4">
              <w:rPr>
                <w:rFonts w:cstheme="minorHAnsi"/>
                <w:b/>
              </w:rPr>
              <w:t xml:space="preserve"> </w:t>
            </w:r>
          </w:p>
          <w:p w14:paraId="1F1407F8" w14:textId="3324B373" w:rsidR="0075728B" w:rsidRPr="006146B4" w:rsidRDefault="0075728B" w:rsidP="0042202B">
            <w:pPr>
              <w:rPr>
                <w:rFonts w:cstheme="minorHAnsi"/>
                <w:b/>
              </w:rPr>
            </w:pPr>
            <w:r w:rsidRPr="006146B4">
              <w:rPr>
                <w:rFonts w:cstheme="minorHAnsi"/>
                <w:b/>
              </w:rPr>
              <w:t>Mając na uwadze bezpieczeństwo oraz interes publiczny należy zauważyć, że proponowane rozwiązanie nie narusza art. 345 TFUE. Nadzór rynku jest jednym z elementów obok homologacji funkcjonowania rynku pojazdów silnikowych w UE. Zgodnie z art. 14 ust. 4 lit. j rozporządzenia 2019/1020 uprawnienia organu nadzoru rynku mają obejmować co najmniej możliwość do pozyskiwania próbek produktów, w tym pod ukrytą tożsamością, aby je zbadać i poddać inżynierii odwrotnej w celu wykrycia niezgodności i uzyskania dowodów.</w:t>
            </w:r>
          </w:p>
          <w:p w14:paraId="6CB49AF8" w14:textId="77777777" w:rsidR="0075728B" w:rsidRDefault="0075728B" w:rsidP="0042202B">
            <w:pPr>
              <w:rPr>
                <w:rFonts w:cstheme="minorHAnsi"/>
                <w:b/>
              </w:rPr>
            </w:pPr>
            <w:r w:rsidRPr="006146B4">
              <w:rPr>
                <w:rFonts w:cstheme="minorHAnsi"/>
                <w:b/>
              </w:rPr>
              <w:t xml:space="preserve">W tym miejscu należy zauważyć, iż art. 17 ust. 1 Karty praw podstawowych Unii Europejskiej nie stoi na przeszkodzie ustawowemu uregulowaniu korzystania z mienia, jeśli jest to konieczne ze względu na </w:t>
            </w:r>
            <w:r w:rsidRPr="006146B4">
              <w:rPr>
                <w:rFonts w:cstheme="minorHAnsi"/>
                <w:b/>
                <w:bCs/>
              </w:rPr>
              <w:t xml:space="preserve">interes ogólny, </w:t>
            </w:r>
            <w:r w:rsidRPr="006146B4">
              <w:rPr>
                <w:rFonts w:cstheme="minorHAnsi"/>
                <w:b/>
              </w:rPr>
              <w:t xml:space="preserve">w tym przypadku mając na uwadze wskazane powyżej kwestie dotyczące bezpieczeństwa oraz zasad i warunków na jakich pojazdy, przedmioty wyposażenia oraz części mogą być udostępniane na rynku, przepisy dotyczące granic korzystania z własności jaką jest próbka uregulowano w art. 68z, 68za oraz 68zj. Zgodnie z proponowanymi przepisami podmiot gospodarczy pozostaje cały czas ich właścicielem, po badaniach pojazdy, przedmioty wyposażenia oraz części są mu zwracane, o ile na określonych warunkach z tego prawa nie zrezygnuje. </w:t>
            </w:r>
          </w:p>
          <w:p w14:paraId="027CD343" w14:textId="77777777" w:rsidR="0075728B" w:rsidRDefault="0075728B" w:rsidP="0042202B">
            <w:pPr>
              <w:rPr>
                <w:rFonts w:cstheme="minorHAnsi"/>
                <w:b/>
              </w:rPr>
            </w:pPr>
          </w:p>
          <w:p w14:paraId="5E828ABC" w14:textId="093BB4EF" w:rsidR="0075728B" w:rsidRPr="006146B4" w:rsidRDefault="0075728B" w:rsidP="0042202B">
            <w:pPr>
              <w:rPr>
                <w:rFonts w:cstheme="minorHAnsi"/>
                <w:b/>
              </w:rPr>
            </w:pPr>
            <w:r w:rsidRPr="006146B4">
              <w:rPr>
                <w:rFonts w:cstheme="minorHAnsi"/>
                <w:b/>
              </w:rPr>
              <w:t>Proponowane rozwiązanie tożsame jest z rozwiązaniem zawartym w art. 72 ust. 2 i 3 i stosowanym od wielu lat przez organy nadzoru rynku, o których mowa w art. 58 ustawy o systemach oceny zgodności i nadzorze rynku (Dz.</w:t>
            </w:r>
            <w:r>
              <w:rPr>
                <w:rFonts w:cstheme="minorHAnsi"/>
                <w:b/>
              </w:rPr>
              <w:t xml:space="preserve"> </w:t>
            </w:r>
            <w:r w:rsidRPr="006146B4">
              <w:rPr>
                <w:rFonts w:cstheme="minorHAnsi"/>
                <w:b/>
              </w:rPr>
              <w:t xml:space="preserve">U. 2025 r. poz. 568). Takie rozwiązania znajdują się także w ustawie o </w:t>
            </w:r>
            <w:r>
              <w:rPr>
                <w:rFonts w:cstheme="minorHAnsi"/>
                <w:b/>
              </w:rPr>
              <w:t>I</w:t>
            </w:r>
            <w:r w:rsidRPr="006146B4">
              <w:rPr>
                <w:rFonts w:cstheme="minorHAnsi"/>
                <w:b/>
              </w:rPr>
              <w:t>nspekcji handlowej (art. 16), czy w przepisach o bezpieczeństwie żywności (art. 76).</w:t>
            </w:r>
            <w:r w:rsidRPr="00BC4C92">
              <w:rPr>
                <w:rFonts w:cstheme="minorHAnsi"/>
                <w:b/>
              </w:rPr>
              <w:t xml:space="preserve"> Rozwiązanie takie utrzymano także w projektach UC45 oraz UC53.</w:t>
            </w:r>
            <w:r>
              <w:rPr>
                <w:rFonts w:cstheme="minorHAnsi"/>
                <w:b/>
              </w:rPr>
              <w:t xml:space="preserve"> </w:t>
            </w:r>
            <w:r w:rsidRPr="006146B4">
              <w:rPr>
                <w:rFonts w:cstheme="minorHAnsi"/>
                <w:b/>
              </w:rPr>
              <w:t>Istotnym elementem jest także kwestia ekonomiczna i finansowa funkcjonowania nadzoru rynku biorąc pod uwagę obowiązki nałożone na organ ww. przepisami UE.</w:t>
            </w:r>
          </w:p>
          <w:p w14:paraId="51113FBD" w14:textId="77777777" w:rsidR="0075728B" w:rsidRPr="006146B4" w:rsidRDefault="0075728B" w:rsidP="0042202B">
            <w:pPr>
              <w:rPr>
                <w:rFonts w:cstheme="minorHAnsi"/>
                <w:b/>
              </w:rPr>
            </w:pPr>
            <w:r w:rsidRPr="006146B4">
              <w:rPr>
                <w:rFonts w:cstheme="minorHAnsi"/>
                <w:b/>
              </w:rPr>
              <w:t>Liczba pobieranych próbek do badań, jak i liczba próbek kontrolnych wynika wprost z przepisów określających wymagania techniczne, w tym rodzaj i zakres badań (regulaminy ONZ, rozporządzenia i dyrektywy UE). Zauważyć należy także, iż minimalna próbka pojazdów do badań określona została w art. 8 ust. 2 rozporządzenia 2018/858.</w:t>
            </w:r>
          </w:p>
          <w:p w14:paraId="2D0B9AE4" w14:textId="1DC70FA7" w:rsidR="0075728B" w:rsidRPr="006146B4" w:rsidRDefault="0075728B" w:rsidP="0042202B">
            <w:pPr>
              <w:rPr>
                <w:rFonts w:cstheme="minorHAnsi"/>
                <w:b/>
              </w:rPr>
            </w:pPr>
            <w:r w:rsidRPr="006146B4">
              <w:rPr>
                <w:rFonts w:cstheme="minorHAnsi"/>
                <w:b/>
              </w:rPr>
              <w:t>Pobieranie nieodpłatne próbek nie jest ucieczką spod reżimu TFUE czy Karty praw podstawowych Unii Europejskiej, lecz narzędziem egzekwowania standardów jednolitego rynku, które te traktaty ustanawiają.</w:t>
            </w:r>
          </w:p>
        </w:tc>
        <w:tc>
          <w:tcPr>
            <w:tcW w:w="3686" w:type="dxa"/>
          </w:tcPr>
          <w:p w14:paraId="036B8912" w14:textId="77777777" w:rsidR="00206EFA" w:rsidRDefault="00206EFA" w:rsidP="0042202B">
            <w:pPr>
              <w:rPr>
                <w:rFonts w:cstheme="minorHAnsi"/>
                <w:b/>
              </w:rPr>
            </w:pPr>
          </w:p>
          <w:p w14:paraId="4E07D33A" w14:textId="7A001ECC" w:rsidR="00E64CC3" w:rsidRPr="00E64CC3" w:rsidRDefault="0075728B" w:rsidP="0042202B">
            <w:pPr>
              <w:rPr>
                <w:rFonts w:cstheme="minorHAnsi"/>
                <w:b/>
              </w:rPr>
            </w:pPr>
            <w:r w:rsidRPr="00E64CC3">
              <w:rPr>
                <w:rFonts w:cstheme="minorHAnsi"/>
                <w:b/>
              </w:rPr>
              <w:t>MSZ prosi o dodatkowe wyjaśnienia</w:t>
            </w:r>
            <w:r w:rsidR="00657F53" w:rsidRPr="00E64CC3">
              <w:rPr>
                <w:rFonts w:cstheme="minorHAnsi"/>
                <w:b/>
              </w:rPr>
              <w:t xml:space="preserve"> – powiązanie z art. 8 rozporządzenia (UE) 858</w:t>
            </w:r>
            <w:r w:rsidR="00206EFA" w:rsidRPr="00E64CC3">
              <w:rPr>
                <w:rFonts w:cstheme="minorHAnsi"/>
                <w:b/>
              </w:rPr>
              <w:t xml:space="preserve"> (TDT – pojazdy sprawne)</w:t>
            </w:r>
            <w:r w:rsidR="00657F53" w:rsidRPr="00E64CC3">
              <w:rPr>
                <w:rFonts w:cstheme="minorHAnsi"/>
                <w:b/>
              </w:rPr>
              <w:t>, w tym</w:t>
            </w:r>
            <w:r w:rsidR="00DC3286" w:rsidRPr="00E64CC3">
              <w:rPr>
                <w:rFonts w:cstheme="minorHAnsi"/>
                <w:b/>
              </w:rPr>
              <w:t xml:space="preserve"> w</w:t>
            </w:r>
            <w:r w:rsidR="00657F53" w:rsidRPr="00E64CC3">
              <w:rPr>
                <w:rFonts w:cstheme="minorHAnsi"/>
                <w:b/>
              </w:rPr>
              <w:t xml:space="preserve"> tabeli zgodności</w:t>
            </w:r>
            <w:r w:rsidR="00E64CC3">
              <w:rPr>
                <w:rFonts w:cstheme="minorHAnsi"/>
                <w:b/>
              </w:rPr>
              <w:t xml:space="preserve">. </w:t>
            </w:r>
          </w:p>
          <w:p w14:paraId="5C3DDF1A" w14:textId="3F42AE60"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Rozporządzenie 2018/858 w art. 8 ust. 1 posługuje się sformułowaniem „statystycznie istotne próbki”, a więc nie przesądza, że badanie ma dotyczyć wyłącznie jednego pojazdu, przedmiotu wyposażenia lub części. Rozwiązanie przyjęte w projekcie jest zgodne zarówno z aktualnie obowiązującą ustawą o systemach oceny zgodności i nadzoru rynku, jak i z projektem ustawy URAM</w:t>
            </w:r>
            <w:r>
              <w:rPr>
                <w:rFonts w:asciiTheme="minorHAnsi" w:eastAsiaTheme="minorHAnsi" w:hAnsiTheme="minorHAnsi" w:cstheme="minorHAnsi"/>
                <w:b/>
                <w:color w:val="0070C0"/>
                <w:sz w:val="22"/>
                <w:szCs w:val="22"/>
                <w:lang w:eastAsia="en-US"/>
              </w:rPr>
              <w:t xml:space="preserve"> (UC45)</w:t>
            </w:r>
            <w:r w:rsidRPr="00E64CC3">
              <w:rPr>
                <w:rFonts w:asciiTheme="minorHAnsi" w:eastAsiaTheme="minorHAnsi" w:hAnsiTheme="minorHAnsi" w:cstheme="minorHAnsi"/>
                <w:b/>
                <w:color w:val="0070C0"/>
                <w:sz w:val="22"/>
                <w:szCs w:val="22"/>
                <w:lang w:eastAsia="en-US"/>
              </w:rPr>
              <w:t>. Podobne rozwiązania funkcjonują również w ustawie o nadzorze nad ogólnym bezpieczeństwem produktów.</w:t>
            </w:r>
          </w:p>
          <w:p w14:paraId="4CA4CB5A" w14:textId="77777777"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 xml:space="preserve">Jednocześnie warto podkreślić, że art. 8 ust. 1 oraz art. 9 ust. 1 rozporządzenia 2018/858 posługują się pojęciem „statystycznie istotnych próbek” w kontekście badań laboratoryjnych i drogowych prowadzonych przez organy nadzoru rynku. Sformułowanie to </w:t>
            </w:r>
            <w:r w:rsidRPr="00E64CC3">
              <w:rPr>
                <w:rFonts w:asciiTheme="minorHAnsi" w:eastAsiaTheme="minorHAnsi" w:hAnsiTheme="minorHAnsi" w:cstheme="minorHAnsi"/>
                <w:b/>
                <w:bCs/>
                <w:color w:val="0070C0"/>
                <w:sz w:val="22"/>
                <w:szCs w:val="22"/>
                <w:lang w:eastAsia="en-US"/>
              </w:rPr>
              <w:t>nie jest terminem statystycznym w sensie naukowym</w:t>
            </w:r>
            <w:r w:rsidRPr="00E64CC3">
              <w:rPr>
                <w:rFonts w:asciiTheme="minorHAnsi" w:eastAsiaTheme="minorHAnsi" w:hAnsiTheme="minorHAnsi" w:cstheme="minorHAnsi"/>
                <w:b/>
                <w:color w:val="0070C0"/>
                <w:sz w:val="22"/>
                <w:szCs w:val="22"/>
                <w:lang w:eastAsia="en-US"/>
              </w:rPr>
              <w:t xml:space="preserve"> – nie odnosi się do poziomu istotności α, mocy testu, wartości p ani planów pobierania próbek. W prawie UE brak jest definicji legalnej tego pojęcia.</w:t>
            </w:r>
          </w:p>
          <w:p w14:paraId="691A0C8A" w14:textId="77777777"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 xml:space="preserve">Celem przepisu jest zapewnienie, aby badania prowadzone przez organ były </w:t>
            </w:r>
            <w:r w:rsidRPr="00E64CC3">
              <w:rPr>
                <w:rFonts w:asciiTheme="minorHAnsi" w:eastAsiaTheme="minorHAnsi" w:hAnsiTheme="minorHAnsi" w:cstheme="minorHAnsi"/>
                <w:b/>
                <w:bCs/>
                <w:color w:val="0070C0"/>
                <w:sz w:val="22"/>
                <w:szCs w:val="22"/>
                <w:lang w:eastAsia="en-US"/>
              </w:rPr>
              <w:t>wiarygodne, odtwarzalne i zgodne z metodami homologacyjnymi</w:t>
            </w:r>
            <w:r w:rsidRPr="00E64CC3">
              <w:rPr>
                <w:rFonts w:asciiTheme="minorHAnsi" w:eastAsiaTheme="minorHAnsi" w:hAnsiTheme="minorHAnsi" w:cstheme="minorHAnsi"/>
                <w:b/>
                <w:color w:val="0070C0"/>
                <w:sz w:val="22"/>
                <w:szCs w:val="22"/>
                <w:lang w:eastAsia="en-US"/>
              </w:rPr>
              <w:t>, a nie wprowadzenie obowiązku stosowania metod statystycznych.</w:t>
            </w:r>
          </w:p>
          <w:p w14:paraId="276009F6" w14:textId="77777777"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 xml:space="preserve">W praktyce, w kontekście rozporządzenia 2018/858, pojęcie to należy rozumieć jako </w:t>
            </w:r>
            <w:r w:rsidRPr="00E64CC3">
              <w:rPr>
                <w:rFonts w:asciiTheme="minorHAnsi" w:eastAsiaTheme="minorHAnsi" w:hAnsiTheme="minorHAnsi" w:cstheme="minorHAnsi"/>
                <w:b/>
                <w:bCs/>
                <w:color w:val="0070C0"/>
                <w:sz w:val="22"/>
                <w:szCs w:val="22"/>
                <w:lang w:eastAsia="en-US"/>
              </w:rPr>
              <w:t>liczbę próbek odpowiednią i wystarczającą do przeprowadzenia badania zgodnie z metodą przewidzianą w odpowiednim regulaminie EKG ONZ lub rozporządzeniu UE</w:t>
            </w:r>
            <w:r w:rsidRPr="00E64CC3">
              <w:rPr>
                <w:rFonts w:asciiTheme="minorHAnsi" w:eastAsiaTheme="minorHAnsi" w:hAnsiTheme="minorHAnsi" w:cstheme="minorHAnsi"/>
                <w:b/>
                <w:color w:val="0070C0"/>
                <w:sz w:val="22"/>
                <w:szCs w:val="22"/>
                <w:lang w:eastAsia="en-US"/>
              </w:rPr>
              <w:t>, tak aby wynik badania był miarodajny i odtwarzalny. Oznacza to, że:</w:t>
            </w:r>
          </w:p>
          <w:p w14:paraId="2A6AF790" w14:textId="77777777" w:rsidR="00E64CC3" w:rsidRPr="00E64CC3" w:rsidRDefault="00E64CC3" w:rsidP="0042202B">
            <w:pPr>
              <w:numPr>
                <w:ilvl w:val="0"/>
                <w:numId w:val="26"/>
              </w:numPr>
              <w:spacing w:before="100" w:beforeAutospacing="1" w:after="100" w:afterAutospacing="1"/>
              <w:rPr>
                <w:rFonts w:cstheme="minorHAnsi"/>
                <w:b/>
                <w:color w:val="0070C0"/>
              </w:rPr>
            </w:pPr>
            <w:r w:rsidRPr="00E64CC3">
              <w:rPr>
                <w:rFonts w:cstheme="minorHAnsi"/>
                <w:b/>
                <w:color w:val="0070C0"/>
              </w:rPr>
              <w:t>liczba próbek nie wynika z analizy statystycznej populacji,</w:t>
            </w:r>
          </w:p>
          <w:p w14:paraId="64A816F1" w14:textId="77777777" w:rsidR="00E64CC3" w:rsidRPr="00E64CC3" w:rsidRDefault="00E64CC3" w:rsidP="0042202B">
            <w:pPr>
              <w:numPr>
                <w:ilvl w:val="0"/>
                <w:numId w:val="26"/>
              </w:numPr>
              <w:spacing w:before="100" w:beforeAutospacing="1" w:after="100" w:afterAutospacing="1"/>
              <w:rPr>
                <w:rFonts w:cstheme="minorHAnsi"/>
                <w:b/>
                <w:color w:val="0070C0"/>
              </w:rPr>
            </w:pPr>
            <w:r w:rsidRPr="00E64CC3">
              <w:rPr>
                <w:rFonts w:cstheme="minorHAnsi"/>
                <w:b/>
                <w:color w:val="0070C0"/>
              </w:rPr>
              <w:t>liczba próbek wynika z wymogów technicznych właściwego regulaminu,</w:t>
            </w:r>
          </w:p>
          <w:p w14:paraId="1F850E45" w14:textId="77777777" w:rsidR="00E64CC3" w:rsidRPr="00E64CC3" w:rsidRDefault="00E64CC3" w:rsidP="0042202B">
            <w:pPr>
              <w:numPr>
                <w:ilvl w:val="0"/>
                <w:numId w:val="26"/>
              </w:numPr>
              <w:spacing w:before="100" w:beforeAutospacing="1" w:after="100" w:afterAutospacing="1"/>
              <w:rPr>
                <w:rFonts w:cstheme="minorHAnsi"/>
                <w:b/>
                <w:color w:val="0070C0"/>
              </w:rPr>
            </w:pPr>
            <w:r w:rsidRPr="00E64CC3">
              <w:rPr>
                <w:rFonts w:cstheme="minorHAnsi"/>
                <w:b/>
                <w:color w:val="0070C0"/>
              </w:rPr>
              <w:t>próbka jest „statystycznie istotna”, jeśli umożliwia wykonanie badania homologacyjnego zgodnie z jego metodyką.</w:t>
            </w:r>
          </w:p>
          <w:p w14:paraId="4E812410" w14:textId="77777777"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Regulaminy EKG ONZ oraz rozporządzenia wykonawcze UE precyzyjnie określają liczbę próbek wymaganą do przeprowadzenia danego badania, np.:</w:t>
            </w:r>
          </w:p>
          <w:p w14:paraId="4B516017" w14:textId="77777777" w:rsidR="00E64CC3" w:rsidRPr="00E64CC3" w:rsidRDefault="00E64CC3" w:rsidP="0042202B">
            <w:pPr>
              <w:numPr>
                <w:ilvl w:val="0"/>
                <w:numId w:val="27"/>
              </w:numPr>
              <w:spacing w:before="100" w:beforeAutospacing="1" w:after="100" w:afterAutospacing="1"/>
              <w:rPr>
                <w:rFonts w:cstheme="minorHAnsi"/>
                <w:b/>
                <w:color w:val="0070C0"/>
              </w:rPr>
            </w:pPr>
            <w:r w:rsidRPr="00E64CC3">
              <w:rPr>
                <w:rFonts w:cstheme="minorHAnsi"/>
                <w:b/>
                <w:color w:val="0070C0"/>
              </w:rPr>
              <w:t xml:space="preserve">dla wielu badań wystarcza </w:t>
            </w:r>
            <w:r w:rsidRPr="00E64CC3">
              <w:rPr>
                <w:rFonts w:cstheme="minorHAnsi"/>
                <w:b/>
                <w:bCs/>
                <w:color w:val="0070C0"/>
              </w:rPr>
              <w:t>1 pojazd</w:t>
            </w:r>
            <w:r w:rsidRPr="00E64CC3">
              <w:rPr>
                <w:rFonts w:cstheme="minorHAnsi"/>
                <w:b/>
                <w:color w:val="0070C0"/>
              </w:rPr>
              <w:t xml:space="preserve"> (WLTP, RDE, oświetlenie, układy elektroniczne),</w:t>
            </w:r>
          </w:p>
          <w:p w14:paraId="0BE029E0" w14:textId="77777777" w:rsidR="00E64CC3" w:rsidRPr="00E64CC3" w:rsidRDefault="00E64CC3" w:rsidP="0042202B">
            <w:pPr>
              <w:numPr>
                <w:ilvl w:val="0"/>
                <w:numId w:val="27"/>
              </w:numPr>
              <w:spacing w:before="100" w:beforeAutospacing="1" w:after="100" w:afterAutospacing="1"/>
              <w:rPr>
                <w:rFonts w:cstheme="minorHAnsi"/>
                <w:b/>
                <w:color w:val="0070C0"/>
              </w:rPr>
            </w:pPr>
            <w:r w:rsidRPr="00E64CC3">
              <w:rPr>
                <w:rFonts w:cstheme="minorHAnsi"/>
                <w:b/>
                <w:color w:val="0070C0"/>
              </w:rPr>
              <w:t xml:space="preserve">dla niektórych komponentów wymagane są </w:t>
            </w:r>
            <w:r w:rsidRPr="00E64CC3">
              <w:rPr>
                <w:rFonts w:cstheme="minorHAnsi"/>
                <w:b/>
                <w:bCs/>
                <w:color w:val="0070C0"/>
              </w:rPr>
              <w:t>2–3 sztuki</w:t>
            </w:r>
            <w:r w:rsidRPr="00E64CC3">
              <w:rPr>
                <w:rFonts w:cstheme="minorHAnsi"/>
                <w:b/>
                <w:color w:val="0070C0"/>
              </w:rPr>
              <w:t xml:space="preserve"> (pasy bezpieczeństwa, elementy konstrukcyjne, badania destrukcyjne),</w:t>
            </w:r>
          </w:p>
          <w:p w14:paraId="31B32FD9" w14:textId="77777777" w:rsidR="00E64CC3" w:rsidRPr="00E64CC3" w:rsidRDefault="00E64CC3" w:rsidP="0042202B">
            <w:pPr>
              <w:numPr>
                <w:ilvl w:val="0"/>
                <w:numId w:val="27"/>
              </w:numPr>
              <w:spacing w:before="100" w:beforeAutospacing="1" w:after="100" w:afterAutospacing="1"/>
              <w:rPr>
                <w:rFonts w:cstheme="minorHAnsi"/>
                <w:b/>
                <w:color w:val="0070C0"/>
              </w:rPr>
            </w:pPr>
            <w:r w:rsidRPr="00E64CC3">
              <w:rPr>
                <w:rFonts w:cstheme="minorHAnsi"/>
                <w:b/>
                <w:color w:val="0070C0"/>
              </w:rPr>
              <w:t xml:space="preserve">dla testów trwałości lub emisji – </w:t>
            </w:r>
            <w:r w:rsidRPr="00E64CC3">
              <w:rPr>
                <w:rFonts w:cstheme="minorHAnsi"/>
                <w:b/>
                <w:bCs/>
                <w:color w:val="0070C0"/>
              </w:rPr>
              <w:t>1 pojazd</w:t>
            </w:r>
            <w:r w:rsidRPr="00E64CC3">
              <w:rPr>
                <w:rFonts w:cstheme="minorHAnsi"/>
                <w:b/>
                <w:color w:val="0070C0"/>
              </w:rPr>
              <w:t xml:space="preserve"> w pełnym cyklu badawczym.</w:t>
            </w:r>
          </w:p>
          <w:p w14:paraId="130D724B" w14:textId="7C28757C"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W konsekwencji:„Statystycznie istotna próbka” oznacza taką liczbę próbek, jaką przewiduje regulamin techniczny dla danego badania. Nie ma potrzeby ani podstawy prawnej, aby organ stosował dodatkowe metody statystyczne lub pobierał większą liczbę próbek niż wymagana przez regulamin.</w:t>
            </w:r>
          </w:p>
          <w:p w14:paraId="05E66D15" w14:textId="77777777"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Celem przepisu jest zatem:</w:t>
            </w:r>
          </w:p>
          <w:p w14:paraId="73F37D31" w14:textId="77777777" w:rsidR="00E64CC3" w:rsidRPr="00E64CC3" w:rsidRDefault="00E64CC3" w:rsidP="0042202B">
            <w:pPr>
              <w:numPr>
                <w:ilvl w:val="0"/>
                <w:numId w:val="28"/>
              </w:numPr>
              <w:spacing w:before="100" w:beforeAutospacing="1" w:after="100" w:afterAutospacing="1"/>
              <w:rPr>
                <w:rFonts w:cstheme="minorHAnsi"/>
                <w:b/>
                <w:color w:val="0070C0"/>
              </w:rPr>
            </w:pPr>
            <w:r w:rsidRPr="00E64CC3">
              <w:rPr>
                <w:rFonts w:cstheme="minorHAnsi"/>
                <w:b/>
                <w:color w:val="0070C0"/>
              </w:rPr>
              <w:t>zapewnienie, że organ nie opiera się na próbkach przypadkowych lub niewystarczających,</w:t>
            </w:r>
          </w:p>
          <w:p w14:paraId="5F16B457" w14:textId="77777777" w:rsidR="00E64CC3" w:rsidRPr="00E64CC3" w:rsidRDefault="00E64CC3" w:rsidP="0042202B">
            <w:pPr>
              <w:numPr>
                <w:ilvl w:val="0"/>
                <w:numId w:val="28"/>
              </w:numPr>
              <w:spacing w:before="100" w:beforeAutospacing="1" w:after="100" w:afterAutospacing="1"/>
              <w:rPr>
                <w:rFonts w:cstheme="minorHAnsi"/>
                <w:b/>
                <w:color w:val="0070C0"/>
              </w:rPr>
            </w:pPr>
            <w:r w:rsidRPr="00E64CC3">
              <w:rPr>
                <w:rFonts w:cstheme="minorHAnsi"/>
                <w:b/>
                <w:color w:val="0070C0"/>
              </w:rPr>
              <w:t>wskazanie, że próbka musi być adekwatna do metody badawczej,</w:t>
            </w:r>
          </w:p>
          <w:p w14:paraId="05114B0C" w14:textId="77777777" w:rsidR="00E64CC3" w:rsidRPr="00E64CC3" w:rsidRDefault="00E64CC3" w:rsidP="0042202B">
            <w:pPr>
              <w:numPr>
                <w:ilvl w:val="0"/>
                <w:numId w:val="28"/>
              </w:numPr>
              <w:spacing w:before="100" w:beforeAutospacing="1" w:after="100" w:afterAutospacing="1"/>
              <w:rPr>
                <w:rFonts w:cstheme="minorHAnsi"/>
                <w:b/>
                <w:color w:val="0070C0"/>
              </w:rPr>
            </w:pPr>
            <w:r w:rsidRPr="00E64CC3">
              <w:rPr>
                <w:rFonts w:cstheme="minorHAnsi"/>
                <w:b/>
                <w:color w:val="0070C0"/>
              </w:rPr>
              <w:t>potwierdzenie, że organ stosuje te same metody badawcze, które obowiązują przy homologacji typu.</w:t>
            </w:r>
          </w:p>
          <w:p w14:paraId="0378ABE2" w14:textId="77777777" w:rsidR="00E64CC3" w:rsidRPr="00E64CC3" w:rsidRDefault="00E64CC3" w:rsidP="0042202B">
            <w:pPr>
              <w:pStyle w:val="NormalnyWeb"/>
              <w:rPr>
                <w:rFonts w:asciiTheme="minorHAnsi" w:eastAsiaTheme="minorHAnsi" w:hAnsiTheme="minorHAnsi" w:cstheme="minorHAnsi"/>
                <w:b/>
                <w:color w:val="0070C0"/>
                <w:sz w:val="22"/>
                <w:szCs w:val="22"/>
                <w:lang w:eastAsia="en-US"/>
              </w:rPr>
            </w:pPr>
            <w:r w:rsidRPr="00E64CC3">
              <w:rPr>
                <w:rFonts w:asciiTheme="minorHAnsi" w:eastAsiaTheme="minorHAnsi" w:hAnsiTheme="minorHAnsi" w:cstheme="minorHAnsi"/>
                <w:b/>
                <w:color w:val="0070C0"/>
                <w:sz w:val="22"/>
                <w:szCs w:val="22"/>
                <w:lang w:eastAsia="en-US"/>
              </w:rPr>
              <w:t xml:space="preserve">Wersja angielska („statistically relevant samples”) potwierdza, że chodzi o próbki </w:t>
            </w:r>
            <w:r w:rsidRPr="00E64CC3">
              <w:rPr>
                <w:rFonts w:asciiTheme="minorHAnsi" w:eastAsiaTheme="minorHAnsi" w:hAnsiTheme="minorHAnsi" w:cstheme="minorHAnsi"/>
                <w:b/>
                <w:bCs/>
                <w:color w:val="0070C0"/>
                <w:sz w:val="22"/>
                <w:szCs w:val="22"/>
                <w:lang w:eastAsia="en-US"/>
              </w:rPr>
              <w:t>odpowiednie</w:t>
            </w:r>
            <w:r w:rsidRPr="00E64CC3">
              <w:rPr>
                <w:rFonts w:asciiTheme="minorHAnsi" w:eastAsiaTheme="minorHAnsi" w:hAnsiTheme="minorHAnsi" w:cstheme="minorHAnsi"/>
                <w:b/>
                <w:color w:val="0070C0"/>
                <w:sz w:val="22"/>
                <w:szCs w:val="22"/>
                <w:lang w:eastAsia="en-US"/>
              </w:rPr>
              <w:t>, a nie „statystycznie istotne” w sensie naukowym.</w:t>
            </w:r>
          </w:p>
          <w:p w14:paraId="1C030DFA" w14:textId="64DA43C4" w:rsidR="00E64CC3" w:rsidRDefault="00E64CC3" w:rsidP="0042202B">
            <w:pPr>
              <w:rPr>
                <w:rFonts w:cstheme="minorHAnsi"/>
                <w:b/>
              </w:rPr>
            </w:pPr>
          </w:p>
          <w:p w14:paraId="11E9970B" w14:textId="77777777" w:rsidR="00450239" w:rsidRPr="00450239" w:rsidRDefault="00450239" w:rsidP="00450239">
            <w:pPr>
              <w:rPr>
                <w:rFonts w:cstheme="minorHAnsi"/>
                <w:b/>
                <w:color w:val="0070C0"/>
                <w:u w:val="single"/>
              </w:rPr>
            </w:pPr>
            <w:r w:rsidRPr="00450239">
              <w:rPr>
                <w:rFonts w:cstheme="minorHAnsi"/>
                <w:b/>
                <w:color w:val="0070C0"/>
                <w:u w:val="single"/>
              </w:rPr>
              <w:t xml:space="preserve">Patrz odniesienie pkt 123. </w:t>
            </w:r>
          </w:p>
          <w:p w14:paraId="2466AC38" w14:textId="77777777" w:rsidR="00450239" w:rsidRDefault="00450239" w:rsidP="0042202B">
            <w:pPr>
              <w:rPr>
                <w:rFonts w:cstheme="minorHAnsi"/>
                <w:b/>
              </w:rPr>
            </w:pPr>
          </w:p>
          <w:p w14:paraId="08B81C87" w14:textId="77777777" w:rsidR="00206EFA" w:rsidRDefault="00206EFA" w:rsidP="0042202B">
            <w:pPr>
              <w:rPr>
                <w:rFonts w:cstheme="minorHAnsi"/>
                <w:b/>
              </w:rPr>
            </w:pPr>
          </w:p>
          <w:p w14:paraId="608A0EFB" w14:textId="19706AA6" w:rsidR="00206EFA" w:rsidRPr="006146B4" w:rsidRDefault="00206EFA" w:rsidP="0042202B">
            <w:pPr>
              <w:rPr>
                <w:rFonts w:cstheme="minorHAnsi"/>
                <w:b/>
              </w:rPr>
            </w:pPr>
          </w:p>
        </w:tc>
      </w:tr>
      <w:tr w:rsidR="0075728B" w:rsidRPr="00C64601" w14:paraId="7D3BDEC1" w14:textId="2B6DAB72" w:rsidTr="00D76FE7">
        <w:tc>
          <w:tcPr>
            <w:tcW w:w="562" w:type="dxa"/>
          </w:tcPr>
          <w:p w14:paraId="471FF824" w14:textId="0BC1FA57" w:rsidR="0075728B" w:rsidRPr="00EE6DC0" w:rsidRDefault="0075728B" w:rsidP="0042202B">
            <w:pPr>
              <w:rPr>
                <w:rFonts w:cstheme="minorHAnsi"/>
                <w:b/>
              </w:rPr>
            </w:pPr>
            <w:r>
              <w:rPr>
                <w:rFonts w:cstheme="minorHAnsi"/>
                <w:b/>
              </w:rPr>
              <w:t>129</w:t>
            </w:r>
          </w:p>
        </w:tc>
        <w:tc>
          <w:tcPr>
            <w:tcW w:w="993" w:type="dxa"/>
          </w:tcPr>
          <w:p w14:paraId="0C84475C" w14:textId="77777777" w:rsidR="0075728B" w:rsidRDefault="0075728B" w:rsidP="0042202B">
            <w:pPr>
              <w:rPr>
                <w:rFonts w:cstheme="minorHAnsi"/>
                <w:b/>
              </w:rPr>
            </w:pPr>
            <w:r w:rsidRPr="00EE6DC0">
              <w:rPr>
                <w:rFonts w:cstheme="minorHAnsi"/>
                <w:b/>
              </w:rPr>
              <w:t>MSZ (opinia ds.UE)</w:t>
            </w:r>
          </w:p>
          <w:p w14:paraId="59713DB9" w14:textId="77777777" w:rsidR="0075728B" w:rsidRDefault="0075728B" w:rsidP="0042202B">
            <w:pPr>
              <w:rPr>
                <w:rFonts w:cstheme="minorHAnsi"/>
                <w:b/>
              </w:rPr>
            </w:pPr>
          </w:p>
          <w:p w14:paraId="75329CCC" w14:textId="77777777" w:rsidR="0075728B" w:rsidRDefault="0075728B" w:rsidP="0042202B">
            <w:pPr>
              <w:rPr>
                <w:rFonts w:cstheme="minorHAnsi"/>
                <w:b/>
                <w:color w:val="00B050"/>
              </w:rPr>
            </w:pPr>
            <w:r>
              <w:rPr>
                <w:rFonts w:cstheme="minorHAnsi"/>
                <w:b/>
                <w:color w:val="00B050"/>
              </w:rPr>
              <w:t>+25 RCL</w:t>
            </w:r>
          </w:p>
          <w:p w14:paraId="33D83EF8" w14:textId="77777777" w:rsidR="0075728B" w:rsidRDefault="0075728B" w:rsidP="0042202B">
            <w:pPr>
              <w:rPr>
                <w:rFonts w:cstheme="minorHAnsi"/>
                <w:b/>
                <w:color w:val="00B050"/>
              </w:rPr>
            </w:pPr>
          </w:p>
          <w:p w14:paraId="5BF967C0" w14:textId="77777777" w:rsidR="0075728B" w:rsidRDefault="0075728B" w:rsidP="0042202B">
            <w:pPr>
              <w:rPr>
                <w:rFonts w:cstheme="minorHAnsi"/>
                <w:b/>
                <w:color w:val="00B050"/>
              </w:rPr>
            </w:pPr>
            <w:r>
              <w:rPr>
                <w:rFonts w:cstheme="minorHAnsi"/>
                <w:b/>
                <w:color w:val="00B050"/>
              </w:rPr>
              <w:t>+ uwaga 97-99 MFiG</w:t>
            </w:r>
          </w:p>
          <w:p w14:paraId="0A0E1B9A" w14:textId="77777777" w:rsidR="0075728B" w:rsidRDefault="0075728B" w:rsidP="0042202B">
            <w:pPr>
              <w:rPr>
                <w:rFonts w:cstheme="minorHAnsi"/>
                <w:b/>
                <w:color w:val="00B050"/>
              </w:rPr>
            </w:pPr>
          </w:p>
          <w:p w14:paraId="307F6A40" w14:textId="3DE67853" w:rsidR="0075728B" w:rsidRPr="005E17D6" w:rsidRDefault="0075728B" w:rsidP="0042202B">
            <w:pPr>
              <w:rPr>
                <w:rFonts w:cstheme="minorHAnsi"/>
                <w:b/>
                <w:color w:val="00B050"/>
              </w:rPr>
            </w:pPr>
          </w:p>
        </w:tc>
        <w:tc>
          <w:tcPr>
            <w:tcW w:w="1701" w:type="dxa"/>
          </w:tcPr>
          <w:p w14:paraId="231BE5AE" w14:textId="1074B38C" w:rsidR="0075728B" w:rsidRPr="00EE6DC0" w:rsidRDefault="0075728B" w:rsidP="0042202B">
            <w:pPr>
              <w:rPr>
                <w:rFonts w:cstheme="minorHAnsi"/>
                <w:b/>
              </w:rPr>
            </w:pPr>
            <w:r w:rsidRPr="00EE6DC0">
              <w:rPr>
                <w:rFonts w:cstheme="minorHAnsi"/>
                <w:b/>
              </w:rPr>
              <w:t xml:space="preserve">Art. 68zk ust. 1 </w:t>
            </w:r>
          </w:p>
        </w:tc>
        <w:tc>
          <w:tcPr>
            <w:tcW w:w="5953" w:type="dxa"/>
          </w:tcPr>
          <w:p w14:paraId="4361077D" w14:textId="12230E6A" w:rsidR="0075728B" w:rsidRPr="00EE6DC0" w:rsidRDefault="0075728B" w:rsidP="0042202B">
            <w:pPr>
              <w:autoSpaceDE w:val="0"/>
              <w:autoSpaceDN w:val="0"/>
              <w:adjustRightInd w:val="0"/>
              <w:rPr>
                <w:rFonts w:cstheme="minorHAnsi"/>
                <w:b/>
              </w:rPr>
            </w:pPr>
            <w:r w:rsidRPr="00EE6DC0">
              <w:rPr>
                <w:rFonts w:cstheme="minorHAnsi"/>
                <w:b/>
              </w:rPr>
              <w:t>Zgodnie z projektowanym art. 68zk ust. 1 ustawy o systemach homologacji pojazdów oraz ich wyposażenia (art. 1 pkt 10 projektu) wprowadzanie do obrotu na terytorium Rzeczypospolitej Polskiej pojazdów podlega opłacie, zwanej dalej „opłatą za nadzór rynku motoryzacyjnego”. Takie rozwiązanie dopuszcza art. 32 ust. 2 rozporządzenia 2018/858, zgodnie z którym koszty działań w zakresie nadzoru rynku mogą być pokrywane z opłat, które mogą</w:t>
            </w:r>
          </w:p>
          <w:p w14:paraId="67A82D30" w14:textId="147F9B85" w:rsidR="0075728B" w:rsidRPr="00EE6DC0" w:rsidRDefault="0075728B" w:rsidP="0042202B">
            <w:pPr>
              <w:autoSpaceDE w:val="0"/>
              <w:autoSpaceDN w:val="0"/>
              <w:adjustRightInd w:val="0"/>
              <w:rPr>
                <w:rFonts w:cstheme="minorHAnsi"/>
                <w:b/>
              </w:rPr>
            </w:pPr>
            <w:r w:rsidRPr="00EE6DC0">
              <w:rPr>
                <w:rFonts w:cstheme="minorHAnsi"/>
                <w:b/>
              </w:rPr>
              <w:t>pobierać państwa członkowskie, w których pojazdy są wprowadzane do obrotu.</w:t>
            </w:r>
          </w:p>
          <w:p w14:paraId="27CF64D8" w14:textId="65ECA803" w:rsidR="0075728B" w:rsidRPr="00EE6DC0" w:rsidRDefault="0075728B" w:rsidP="0042202B">
            <w:pPr>
              <w:autoSpaceDE w:val="0"/>
              <w:autoSpaceDN w:val="0"/>
              <w:adjustRightInd w:val="0"/>
              <w:rPr>
                <w:rFonts w:cstheme="minorHAnsi"/>
                <w:b/>
              </w:rPr>
            </w:pPr>
            <w:r w:rsidRPr="00EE6DC0">
              <w:rPr>
                <w:rFonts w:cstheme="minorHAnsi"/>
                <w:b/>
              </w:rPr>
              <w:t>Niemniej art. 32 ust. 2 rozporządzenia 2018/858 nie przewiduje pokrywania z tych opłat innych celów realizowanych przez państwa członkowskie. W tym kontekście istotne wątpliwości budzi projektowany art. 68zl ust. 1ustawy o systemach homologacji pojazdów oraz ich wyposażenia, zgodnie z którym środki finansowe stanowiące corocznie nadwyżkę opłaty za nadzór rynku motoryzacyjnego są przekazywane w 100% na Fundusz rozwoju przewozów autobusowych o charakterze użyteczności publicznej, o którym mowa w art. 1 ust. 1 ustawy z dnia 16 maja 2019 r. o Funduszu rozwoju przewozów autobusowych o charakterze użyteczności publicznej. Warto przy tym zauważyć, że zgodnie z projektowanym art. 68zl ust. 3 minister właściwy do spraw transportu określi, w drodze obwieszczenia, wysokość</w:t>
            </w:r>
          </w:p>
          <w:p w14:paraId="5E7A11A0" w14:textId="6FCDF9D2" w:rsidR="0075728B" w:rsidRPr="00EE6DC0" w:rsidRDefault="0075728B" w:rsidP="0042202B">
            <w:pPr>
              <w:autoSpaceDE w:val="0"/>
              <w:autoSpaceDN w:val="0"/>
              <w:adjustRightInd w:val="0"/>
              <w:rPr>
                <w:rFonts w:cstheme="minorHAnsi"/>
                <w:b/>
              </w:rPr>
            </w:pPr>
            <w:r w:rsidRPr="00EE6DC0">
              <w:rPr>
                <w:rFonts w:cstheme="minorHAnsi"/>
                <w:b/>
              </w:rPr>
              <w:t>corocznej nadwyżki opłaty za nadzór rynku motoryzacyjnego oraz sposób i termin przekazania przez Dyrektora TDT środków finansowych stanowiących nadwyżkę, zgodnie z ust. 1. Brzmienie przywołanego ustępu wskazuje, że nadwyżka ta będzie w istocie odrębną – nieprzewidzianą w rozporządzeniu 2018/858 – opłatą pobieraną od producentów, w tym</w:t>
            </w:r>
          </w:p>
          <w:p w14:paraId="0047022E" w14:textId="21E740C7" w:rsidR="0075728B" w:rsidRPr="00EE6DC0" w:rsidRDefault="0075728B" w:rsidP="0042202B">
            <w:pPr>
              <w:autoSpaceDE w:val="0"/>
              <w:autoSpaceDN w:val="0"/>
              <w:adjustRightInd w:val="0"/>
              <w:rPr>
                <w:rFonts w:cstheme="minorHAnsi"/>
                <w:b/>
              </w:rPr>
            </w:pPr>
            <w:r w:rsidRPr="00EE6DC0">
              <w:rPr>
                <w:rFonts w:cstheme="minorHAnsi"/>
                <w:b/>
              </w:rPr>
              <w:t>producentów mających siedzibę na terytorium jednego z państw członkowskich Unii Europejskiej. Takie rozwiązanie należy ocenić jako sprzeczne z art. 32 ust. 2 rozporządzenia 2018/858 w zw. z motywem 1 tego rozporządzenia wskazującym na jego cel w postaci zapewnienia swobodnego przepływu towarów.</w:t>
            </w:r>
          </w:p>
        </w:tc>
        <w:tc>
          <w:tcPr>
            <w:tcW w:w="3827" w:type="dxa"/>
          </w:tcPr>
          <w:p w14:paraId="3F2B5A81" w14:textId="65B223AB" w:rsidR="0075728B" w:rsidRPr="00EE6DC0" w:rsidRDefault="0075728B" w:rsidP="0042202B">
            <w:pPr>
              <w:rPr>
                <w:rFonts w:cstheme="minorHAnsi"/>
                <w:b/>
              </w:rPr>
            </w:pPr>
            <w:r w:rsidRPr="00EE6DC0">
              <w:rPr>
                <w:rFonts w:cstheme="minorHAnsi"/>
                <w:b/>
              </w:rPr>
              <w:t xml:space="preserve">Uwaga uwzględniona – wykreślono przepis w zakresie nadwyżki na fundusz. </w:t>
            </w:r>
          </w:p>
        </w:tc>
        <w:tc>
          <w:tcPr>
            <w:tcW w:w="3686" w:type="dxa"/>
          </w:tcPr>
          <w:p w14:paraId="6AC3A802" w14:textId="77777777" w:rsidR="0075728B" w:rsidRDefault="0075728B" w:rsidP="0042202B">
            <w:pPr>
              <w:rPr>
                <w:rFonts w:cstheme="minorHAnsi"/>
                <w:b/>
              </w:rPr>
            </w:pPr>
            <w:r>
              <w:rPr>
                <w:rFonts w:cstheme="minorHAnsi"/>
                <w:b/>
              </w:rPr>
              <w:t xml:space="preserve">Akceptacja </w:t>
            </w:r>
          </w:p>
          <w:p w14:paraId="04535E66" w14:textId="77777777" w:rsidR="00450239" w:rsidRDefault="00450239" w:rsidP="0042202B">
            <w:pPr>
              <w:rPr>
                <w:rFonts w:cstheme="minorHAnsi"/>
                <w:b/>
              </w:rPr>
            </w:pPr>
          </w:p>
          <w:p w14:paraId="0D592754" w14:textId="77777777" w:rsidR="00450239" w:rsidRPr="00450239" w:rsidRDefault="00450239" w:rsidP="00450239">
            <w:pPr>
              <w:rPr>
                <w:rFonts w:cstheme="minorHAnsi"/>
                <w:b/>
                <w:color w:val="0070C0"/>
                <w:u w:val="single"/>
              </w:rPr>
            </w:pPr>
            <w:r w:rsidRPr="00450239">
              <w:rPr>
                <w:rFonts w:cstheme="minorHAnsi"/>
                <w:b/>
                <w:color w:val="0070C0"/>
                <w:u w:val="single"/>
              </w:rPr>
              <w:t xml:space="preserve">Patrz odniesienie pkt 123. </w:t>
            </w:r>
          </w:p>
          <w:p w14:paraId="2956FC59" w14:textId="6F114365" w:rsidR="00450239" w:rsidRPr="00EE6DC0" w:rsidRDefault="00450239" w:rsidP="0042202B">
            <w:pPr>
              <w:rPr>
                <w:rFonts w:cstheme="minorHAnsi"/>
                <w:b/>
              </w:rPr>
            </w:pPr>
          </w:p>
        </w:tc>
      </w:tr>
      <w:tr w:rsidR="0075728B" w:rsidRPr="00EA4BE8" w14:paraId="0AA5340D" w14:textId="091BA433" w:rsidTr="00D76FE7">
        <w:tc>
          <w:tcPr>
            <w:tcW w:w="562" w:type="dxa"/>
          </w:tcPr>
          <w:p w14:paraId="7CDD7CCF" w14:textId="6D4A4678" w:rsidR="0075728B" w:rsidRPr="00EA4BE8" w:rsidRDefault="0075728B" w:rsidP="0042202B">
            <w:pPr>
              <w:rPr>
                <w:rFonts w:cstheme="minorHAnsi"/>
                <w:b/>
              </w:rPr>
            </w:pPr>
            <w:r w:rsidRPr="00EA4BE8">
              <w:rPr>
                <w:rFonts w:cstheme="minorHAnsi"/>
                <w:b/>
              </w:rPr>
              <w:t>130</w:t>
            </w:r>
          </w:p>
        </w:tc>
        <w:tc>
          <w:tcPr>
            <w:tcW w:w="993" w:type="dxa"/>
          </w:tcPr>
          <w:p w14:paraId="580A0437" w14:textId="31F8DCA3" w:rsidR="0075728B" w:rsidRPr="00EA4BE8" w:rsidRDefault="0075728B" w:rsidP="0042202B">
            <w:pPr>
              <w:rPr>
                <w:rFonts w:cstheme="minorHAnsi"/>
                <w:b/>
              </w:rPr>
            </w:pPr>
            <w:r w:rsidRPr="00EA4BE8">
              <w:rPr>
                <w:rFonts w:cstheme="minorHAnsi"/>
                <w:b/>
              </w:rPr>
              <w:t>MSZ (opinia ds.UE)</w:t>
            </w:r>
          </w:p>
        </w:tc>
        <w:tc>
          <w:tcPr>
            <w:tcW w:w="1701" w:type="dxa"/>
          </w:tcPr>
          <w:p w14:paraId="135084EE" w14:textId="77777777" w:rsidR="0075728B" w:rsidRPr="00EA4BE8" w:rsidRDefault="0075728B" w:rsidP="0042202B">
            <w:pPr>
              <w:rPr>
                <w:rFonts w:cstheme="minorHAnsi"/>
                <w:b/>
              </w:rPr>
            </w:pPr>
          </w:p>
        </w:tc>
        <w:tc>
          <w:tcPr>
            <w:tcW w:w="5953" w:type="dxa"/>
          </w:tcPr>
          <w:p w14:paraId="223E2FFA" w14:textId="10D0DF0A" w:rsidR="0075728B" w:rsidRPr="00EA4BE8" w:rsidRDefault="0075728B" w:rsidP="0042202B">
            <w:pPr>
              <w:autoSpaceDE w:val="0"/>
              <w:autoSpaceDN w:val="0"/>
              <w:adjustRightInd w:val="0"/>
              <w:rPr>
                <w:rFonts w:cstheme="minorHAnsi"/>
                <w:b/>
              </w:rPr>
            </w:pPr>
            <w:r w:rsidRPr="00EA4BE8">
              <w:rPr>
                <w:rFonts w:cstheme="minorHAnsi"/>
                <w:b/>
              </w:rPr>
              <w:t>Projekt wprowadza sankcje za naruszenie przepisów rozporządzenia 167/2013, 168/2013 oraz 2018/858 (art. 1 pkt 13 projektu). Niemniej w projekcie nie uwzględniono przepisów wprowadzających sankcje, o których mowa w art. 84 ust. 3 lit. c) oraz ust. 3a i ust. 3b rozporządzenia 2018/858. Nie odniesiono się także do tych przepisów w tabeli zgodności. Zgodnie z art. 84 ust. 3 lit. c) rozporządzenia 2018/858 sankcjom podlegać powinna ingerencja w pojazd i jego układy. Zgodnie zaś z art. 84 ust. 3a rozporządzenia 2018/858 sankcjom powinny podlegać również co najmniej następujące typy naruszeń przez producentów: a) fałszowanie wyników badań zgodności eksploatacyjnej w ramach homologacji typu w zakresie emisji; b) projektowanie, budowanie i montaż pojazdów wyposażonych w urządzenia manipulacyjne lub strategie manipulacyjne powodujące, że pojazd niezgodny z niniejszym rozporządzeniem wydaje się z nim zgodny; c)</w:t>
            </w:r>
          </w:p>
          <w:p w14:paraId="3C68889A" w14:textId="77777777" w:rsidR="0075728B" w:rsidRPr="00EA4BE8" w:rsidRDefault="0075728B" w:rsidP="0042202B">
            <w:pPr>
              <w:autoSpaceDE w:val="0"/>
              <w:autoSpaceDN w:val="0"/>
              <w:adjustRightInd w:val="0"/>
              <w:rPr>
                <w:rFonts w:cstheme="minorHAnsi"/>
                <w:b/>
              </w:rPr>
            </w:pPr>
            <w:r w:rsidRPr="00EA4BE8">
              <w:rPr>
                <w:rFonts w:cstheme="minorHAnsi"/>
                <w:b/>
              </w:rPr>
              <w:t xml:space="preserve">projektowanie, budowanie i montaż pojazdów kategorii M1, M2, M3, N1, N2 i N3 bez wymaganych układów ostrzegania kierowcy o przekroczeniu poziomu emisji spalin lub układów ostrzegania kierowcy o niskim poziomie odczynnika. </w:t>
            </w:r>
          </w:p>
          <w:p w14:paraId="5B9A78AA" w14:textId="00EDC343" w:rsidR="0075728B" w:rsidRPr="00EA4BE8" w:rsidRDefault="0075728B" w:rsidP="0042202B">
            <w:pPr>
              <w:autoSpaceDE w:val="0"/>
              <w:autoSpaceDN w:val="0"/>
              <w:adjustRightInd w:val="0"/>
              <w:rPr>
                <w:rFonts w:cstheme="minorHAnsi"/>
                <w:b/>
              </w:rPr>
            </w:pPr>
            <w:r w:rsidRPr="00EA4BE8">
              <w:rPr>
                <w:rFonts w:cstheme="minorHAnsi"/>
                <w:b/>
              </w:rPr>
              <w:t xml:space="preserve">Przepis art. 84 ust. 3b rozporządzenia 2018/858 stanowi natomiast, że typy podlegających sankcjom naruszeń popełnianych przez podmioty niezależne obejmują co najmniej ingerencję w pojazd i jego układy. </w:t>
            </w:r>
          </w:p>
          <w:p w14:paraId="130854DD" w14:textId="50140778" w:rsidR="0075728B" w:rsidRPr="00EA4BE8" w:rsidRDefault="0075728B" w:rsidP="0042202B">
            <w:pPr>
              <w:autoSpaceDE w:val="0"/>
              <w:autoSpaceDN w:val="0"/>
              <w:adjustRightInd w:val="0"/>
              <w:rPr>
                <w:rFonts w:cstheme="minorHAnsi"/>
                <w:b/>
              </w:rPr>
            </w:pPr>
            <w:r w:rsidRPr="00EA4BE8">
              <w:rPr>
                <w:rFonts w:cstheme="minorHAnsi"/>
                <w:b/>
              </w:rPr>
              <w:t>Projekt ustawy jest zgodny z prawem Unii Europejskiej, z zastrzeżeniem uwag przedstawionych w niniejszej opinii.</w:t>
            </w:r>
          </w:p>
        </w:tc>
        <w:tc>
          <w:tcPr>
            <w:tcW w:w="3827" w:type="dxa"/>
          </w:tcPr>
          <w:p w14:paraId="497BFD2B" w14:textId="77777777" w:rsidR="0075728B" w:rsidRDefault="0075728B" w:rsidP="0042202B">
            <w:pPr>
              <w:rPr>
                <w:rFonts w:cstheme="minorHAnsi"/>
                <w:b/>
              </w:rPr>
            </w:pPr>
            <w:r w:rsidRPr="00EA4BE8">
              <w:rPr>
                <w:rFonts w:cstheme="minorHAnsi"/>
                <w:b/>
              </w:rPr>
              <w:t xml:space="preserve">Uwaga uwzględniona – wprowadzono zmiany w UC95 uwzględniające te przepisy. </w:t>
            </w:r>
          </w:p>
          <w:p w14:paraId="4F598E09" w14:textId="77777777" w:rsidR="0075728B" w:rsidRDefault="0075728B" w:rsidP="0042202B">
            <w:pPr>
              <w:rPr>
                <w:rFonts w:cstheme="minorHAnsi"/>
                <w:b/>
              </w:rPr>
            </w:pPr>
          </w:p>
          <w:p w14:paraId="39AAD480" w14:textId="7B7DEE43" w:rsidR="0075728B" w:rsidRPr="006146B4" w:rsidRDefault="0075728B" w:rsidP="0042202B">
            <w:pPr>
              <w:pStyle w:val="ZUSTzmustartykuempunktem"/>
              <w:spacing w:line="240" w:lineRule="auto"/>
              <w:ind w:left="0" w:firstLine="0"/>
              <w:jc w:val="left"/>
              <w:rPr>
                <w:rFonts w:asciiTheme="minorHAnsi" w:hAnsiTheme="minorHAnsi" w:cstheme="minorHAnsi"/>
                <w:b/>
                <w:i/>
                <w:sz w:val="22"/>
                <w:szCs w:val="22"/>
              </w:rPr>
            </w:pPr>
            <w:r w:rsidRPr="006146B4">
              <w:rPr>
                <w:rFonts w:asciiTheme="minorHAnsi" w:hAnsiTheme="minorHAnsi" w:cstheme="minorHAnsi"/>
                <w:b/>
                <w:i/>
                <w:sz w:val="22"/>
                <w:szCs w:val="22"/>
              </w:rPr>
              <w:t>„17.  Podmiot gospodarczy lub niezależny podmiot, który:</w:t>
            </w:r>
          </w:p>
          <w:p w14:paraId="69A6F52F" w14:textId="010A9533" w:rsidR="0075728B" w:rsidRPr="006146B4" w:rsidRDefault="0075728B" w:rsidP="0042202B">
            <w:pPr>
              <w:pStyle w:val="ZUSTzmustartykuempunktem"/>
              <w:spacing w:line="240" w:lineRule="auto"/>
              <w:ind w:left="0" w:firstLine="0"/>
              <w:jc w:val="left"/>
              <w:rPr>
                <w:rFonts w:asciiTheme="minorHAnsi" w:hAnsiTheme="minorHAnsi" w:cstheme="minorHAnsi"/>
                <w:b/>
                <w:i/>
                <w:sz w:val="22"/>
                <w:szCs w:val="22"/>
              </w:rPr>
            </w:pPr>
            <w:r w:rsidRPr="006146B4">
              <w:rPr>
                <w:rFonts w:asciiTheme="minorHAnsi" w:hAnsiTheme="minorHAnsi" w:cstheme="minorHAnsi"/>
                <w:b/>
                <w:i/>
                <w:sz w:val="22"/>
                <w:szCs w:val="22"/>
              </w:rPr>
              <w:t>1)w sposób nieuprawniony lub naruszający udzieloną homologację ingeruje w pojazd i jego układy,</w:t>
            </w:r>
          </w:p>
          <w:p w14:paraId="4518FF3D" w14:textId="0E0A6AD8" w:rsidR="0075728B" w:rsidRPr="006146B4" w:rsidRDefault="0075728B" w:rsidP="0042202B">
            <w:pPr>
              <w:pStyle w:val="ZUSTzmustartykuempunktem"/>
              <w:spacing w:line="240" w:lineRule="auto"/>
              <w:ind w:left="0" w:firstLine="0"/>
              <w:jc w:val="left"/>
              <w:rPr>
                <w:rFonts w:asciiTheme="minorHAnsi" w:hAnsiTheme="minorHAnsi" w:cstheme="minorHAnsi"/>
                <w:b/>
                <w:i/>
                <w:sz w:val="22"/>
                <w:szCs w:val="22"/>
              </w:rPr>
            </w:pPr>
            <w:r w:rsidRPr="006146B4">
              <w:rPr>
                <w:rFonts w:asciiTheme="minorHAnsi" w:hAnsiTheme="minorHAnsi" w:cstheme="minorHAnsi"/>
                <w:b/>
                <w:i/>
                <w:sz w:val="22"/>
                <w:szCs w:val="22"/>
              </w:rPr>
              <w:t>2)projektuje, buduje i montuje pojazdy wyposażone w urządzenia manipulujące lub strategie manipulacyjne powodujące, że pojazd niezgodny z niniejszą ustawą wydaje się z nią zgodny,</w:t>
            </w:r>
          </w:p>
          <w:p w14:paraId="6B04A7F7" w14:textId="40B1A57B" w:rsidR="0075728B" w:rsidRPr="006146B4" w:rsidRDefault="0075728B" w:rsidP="0042202B">
            <w:pPr>
              <w:pStyle w:val="ZUSTzmustartykuempunktem"/>
              <w:spacing w:line="240" w:lineRule="auto"/>
              <w:ind w:left="0" w:firstLine="0"/>
              <w:jc w:val="left"/>
              <w:rPr>
                <w:rFonts w:asciiTheme="minorHAnsi" w:hAnsiTheme="minorHAnsi" w:cstheme="minorHAnsi"/>
                <w:b/>
                <w:i/>
                <w:sz w:val="22"/>
                <w:szCs w:val="22"/>
              </w:rPr>
            </w:pPr>
            <w:r w:rsidRPr="006146B4">
              <w:rPr>
                <w:rFonts w:asciiTheme="minorHAnsi" w:hAnsiTheme="minorHAnsi" w:cstheme="minorHAnsi"/>
                <w:b/>
                <w:i/>
                <w:sz w:val="22"/>
                <w:szCs w:val="22"/>
              </w:rPr>
              <w:t>3)projektuje, buduje i montuje pojazdy kategorii M1, M2, M3, N1, N2 i N3 bez wymaganych układów ostrzegania kierowcy o przekroczeniu poziomu emisji spalin lub układów ostrzegania kierowcy o niskim poziomie odczynnika,</w:t>
            </w:r>
          </w:p>
          <w:p w14:paraId="2CACA2A5" w14:textId="251F6669" w:rsidR="0075728B" w:rsidRPr="006146B4" w:rsidRDefault="0075728B" w:rsidP="0042202B">
            <w:pPr>
              <w:pStyle w:val="ZUSTzmustartykuempunktem"/>
              <w:spacing w:line="240" w:lineRule="auto"/>
              <w:ind w:left="0" w:firstLine="0"/>
              <w:jc w:val="left"/>
              <w:rPr>
                <w:rFonts w:asciiTheme="minorHAnsi" w:hAnsiTheme="minorHAnsi" w:cstheme="minorHAnsi"/>
                <w:b/>
                <w:i/>
                <w:sz w:val="22"/>
                <w:szCs w:val="22"/>
              </w:rPr>
            </w:pPr>
            <w:r w:rsidRPr="006146B4">
              <w:rPr>
                <w:rFonts w:asciiTheme="minorHAnsi" w:hAnsiTheme="minorHAnsi" w:cstheme="minorHAnsi"/>
                <w:b/>
                <w:i/>
                <w:sz w:val="22"/>
                <w:szCs w:val="22"/>
              </w:rPr>
              <w:t>4)</w:t>
            </w:r>
            <w:r>
              <w:rPr>
                <w:rFonts w:asciiTheme="minorHAnsi" w:hAnsiTheme="minorHAnsi" w:cstheme="minorHAnsi"/>
                <w:b/>
                <w:i/>
                <w:sz w:val="22"/>
                <w:szCs w:val="22"/>
              </w:rPr>
              <w:t xml:space="preserve"> </w:t>
            </w:r>
            <w:r w:rsidRPr="006146B4">
              <w:rPr>
                <w:rFonts w:asciiTheme="minorHAnsi" w:hAnsiTheme="minorHAnsi" w:cstheme="minorHAnsi"/>
                <w:b/>
                <w:i/>
                <w:sz w:val="22"/>
                <w:szCs w:val="22"/>
              </w:rPr>
              <w:t>ingeruje w pojazd i jego układy w celu usunięcia lub dezaktywacji jego układów,</w:t>
            </w:r>
          </w:p>
          <w:p w14:paraId="41AC50D1" w14:textId="40A88D35" w:rsidR="0075728B" w:rsidRPr="006C019F" w:rsidRDefault="0075728B" w:rsidP="0042202B">
            <w:pPr>
              <w:pStyle w:val="ZUSTzmustartykuempunktem"/>
              <w:spacing w:line="240" w:lineRule="auto"/>
              <w:ind w:left="0" w:firstLine="0"/>
              <w:jc w:val="left"/>
              <w:rPr>
                <w:rFonts w:asciiTheme="minorHAnsi" w:hAnsiTheme="minorHAnsi" w:cstheme="minorHAnsi"/>
                <w:b/>
                <w:i/>
                <w:sz w:val="22"/>
                <w:szCs w:val="22"/>
              </w:rPr>
            </w:pPr>
            <w:r w:rsidRPr="006146B4">
              <w:rPr>
                <w:rFonts w:asciiTheme="minorHAnsi" w:hAnsiTheme="minorHAnsi" w:cstheme="minorHAnsi"/>
                <w:b/>
                <w:i/>
                <w:sz w:val="22"/>
                <w:szCs w:val="22"/>
              </w:rPr>
              <w:t>- podlega administracyjnej karze pieniężnej do wysokości sześciokrotności przeciętnego wynagrodzenia, o którym mowa w art. 68g ust. 4, ogłaszanego za czwarty kwartał roku.”</w:t>
            </w:r>
          </w:p>
        </w:tc>
        <w:tc>
          <w:tcPr>
            <w:tcW w:w="3686" w:type="dxa"/>
          </w:tcPr>
          <w:p w14:paraId="47FE0796" w14:textId="77777777" w:rsidR="0075728B" w:rsidRDefault="0075728B" w:rsidP="0042202B">
            <w:pPr>
              <w:rPr>
                <w:rFonts w:cstheme="minorHAnsi"/>
                <w:b/>
              </w:rPr>
            </w:pPr>
            <w:r>
              <w:rPr>
                <w:rFonts w:cstheme="minorHAnsi"/>
                <w:b/>
              </w:rPr>
              <w:t xml:space="preserve">Akceptacja </w:t>
            </w:r>
          </w:p>
          <w:p w14:paraId="016721A6" w14:textId="77777777" w:rsidR="00E64CC3" w:rsidRDefault="00E64CC3" w:rsidP="0042202B">
            <w:pPr>
              <w:rPr>
                <w:rFonts w:cstheme="minorHAnsi"/>
                <w:b/>
              </w:rPr>
            </w:pPr>
          </w:p>
          <w:p w14:paraId="1C618AA9" w14:textId="77777777" w:rsidR="00450239" w:rsidRDefault="00DE3FA5" w:rsidP="0042202B">
            <w:pPr>
              <w:rPr>
                <w:rFonts w:cstheme="minorHAnsi"/>
                <w:b/>
                <w:color w:val="0070C0"/>
              </w:rPr>
            </w:pPr>
            <w:r>
              <w:rPr>
                <w:rFonts w:cstheme="minorHAnsi"/>
                <w:b/>
                <w:color w:val="0070C0"/>
              </w:rPr>
              <w:t>Zmiana numeracji: a</w:t>
            </w:r>
            <w:r w:rsidR="00E64CC3" w:rsidRPr="00E64CC3">
              <w:rPr>
                <w:rFonts w:cstheme="minorHAnsi"/>
                <w:b/>
                <w:color w:val="0070C0"/>
              </w:rPr>
              <w:t>rt. 14 ust. 9 i 10.</w:t>
            </w:r>
          </w:p>
          <w:p w14:paraId="60340F58" w14:textId="77777777" w:rsidR="00450239" w:rsidRDefault="00450239" w:rsidP="0042202B">
            <w:pPr>
              <w:rPr>
                <w:rFonts w:cstheme="minorHAnsi"/>
                <w:b/>
                <w:color w:val="0070C0"/>
              </w:rPr>
            </w:pPr>
          </w:p>
          <w:p w14:paraId="7B6DF169" w14:textId="77777777" w:rsidR="00450239" w:rsidRDefault="00450239" w:rsidP="0042202B">
            <w:pPr>
              <w:rPr>
                <w:rFonts w:cstheme="minorHAnsi"/>
                <w:b/>
                <w:color w:val="0070C0"/>
              </w:rPr>
            </w:pPr>
          </w:p>
          <w:p w14:paraId="43D335A4" w14:textId="77777777" w:rsidR="00450239" w:rsidRPr="00450239" w:rsidRDefault="00450239" w:rsidP="00450239">
            <w:pPr>
              <w:rPr>
                <w:rFonts w:cstheme="minorHAnsi"/>
                <w:b/>
                <w:color w:val="0070C0"/>
                <w:u w:val="single"/>
              </w:rPr>
            </w:pPr>
            <w:r w:rsidRPr="00450239">
              <w:rPr>
                <w:rFonts w:cstheme="minorHAnsi"/>
                <w:b/>
                <w:color w:val="0070C0"/>
                <w:u w:val="single"/>
              </w:rPr>
              <w:t xml:space="preserve">Patrz odniesienie pkt 123. </w:t>
            </w:r>
          </w:p>
          <w:p w14:paraId="0476DF0B" w14:textId="483D86EC" w:rsidR="00E64CC3" w:rsidRPr="00EA4BE8" w:rsidRDefault="00E64CC3" w:rsidP="0042202B">
            <w:pPr>
              <w:rPr>
                <w:rFonts w:cstheme="minorHAnsi"/>
                <w:b/>
              </w:rPr>
            </w:pPr>
            <w:r w:rsidRPr="00E64CC3">
              <w:rPr>
                <w:rFonts w:cstheme="minorHAnsi"/>
                <w:b/>
                <w:color w:val="0070C0"/>
              </w:rPr>
              <w:t xml:space="preserve"> </w:t>
            </w:r>
          </w:p>
        </w:tc>
      </w:tr>
      <w:tr w:rsidR="0075728B" w:rsidRPr="00C64601" w14:paraId="34986EE2" w14:textId="5F576A68" w:rsidTr="00D76FE7">
        <w:tc>
          <w:tcPr>
            <w:tcW w:w="562" w:type="dxa"/>
          </w:tcPr>
          <w:p w14:paraId="7ECA8D31" w14:textId="76BBC323" w:rsidR="0075728B" w:rsidRPr="00EE6DC0" w:rsidRDefault="0075728B" w:rsidP="0042202B">
            <w:pPr>
              <w:rPr>
                <w:b/>
              </w:rPr>
            </w:pPr>
            <w:r w:rsidRPr="00EE6DC0">
              <w:rPr>
                <w:b/>
              </w:rPr>
              <w:t>131</w:t>
            </w:r>
          </w:p>
        </w:tc>
        <w:tc>
          <w:tcPr>
            <w:tcW w:w="993" w:type="dxa"/>
          </w:tcPr>
          <w:p w14:paraId="3B979307" w14:textId="2D276085" w:rsidR="0075728B" w:rsidRPr="00EE6DC0" w:rsidRDefault="0075728B" w:rsidP="0042202B">
            <w:pPr>
              <w:rPr>
                <w:b/>
              </w:rPr>
            </w:pPr>
            <w:r w:rsidRPr="00EE6DC0">
              <w:rPr>
                <w:b/>
              </w:rPr>
              <w:t>MSZ (opinia ds.UE)</w:t>
            </w:r>
          </w:p>
        </w:tc>
        <w:tc>
          <w:tcPr>
            <w:tcW w:w="1701" w:type="dxa"/>
          </w:tcPr>
          <w:p w14:paraId="40F041B2" w14:textId="5AAE9CC4" w:rsidR="0075728B" w:rsidRPr="00EE6DC0" w:rsidRDefault="0075728B" w:rsidP="0042202B">
            <w:pPr>
              <w:rPr>
                <w:b/>
              </w:rPr>
            </w:pPr>
            <w:r w:rsidRPr="00EE6DC0">
              <w:rPr>
                <w:b/>
              </w:rPr>
              <w:t>Ogólna uwaga do UC95</w:t>
            </w:r>
          </w:p>
        </w:tc>
        <w:tc>
          <w:tcPr>
            <w:tcW w:w="5953" w:type="dxa"/>
          </w:tcPr>
          <w:p w14:paraId="4DA9502B" w14:textId="77777777" w:rsidR="0075728B" w:rsidRPr="00EE6DC0" w:rsidRDefault="0075728B" w:rsidP="0042202B">
            <w:pPr>
              <w:autoSpaceDE w:val="0"/>
              <w:autoSpaceDN w:val="0"/>
              <w:adjustRightInd w:val="0"/>
              <w:rPr>
                <w:b/>
              </w:rPr>
            </w:pPr>
            <w:r w:rsidRPr="00EE6DC0">
              <w:rPr>
                <w:b/>
              </w:rPr>
              <w:t xml:space="preserve">Projekt zawiera nadregulację wskazaną w dołączonej do niego odwróconej tabeli zgodności. Zasadnicze przepisy stanowiące nadregulację dotyczą: </w:t>
            </w:r>
          </w:p>
          <w:p w14:paraId="235F9C22" w14:textId="7C8541FD" w:rsidR="0075728B" w:rsidRPr="00EE6DC0" w:rsidRDefault="0075728B" w:rsidP="0042202B">
            <w:pPr>
              <w:autoSpaceDE w:val="0"/>
              <w:autoSpaceDN w:val="0"/>
              <w:adjustRightInd w:val="0"/>
              <w:rPr>
                <w:b/>
              </w:rPr>
            </w:pPr>
            <w:r w:rsidRPr="00EE6DC0">
              <w:rPr>
                <w:b/>
              </w:rPr>
              <w:t xml:space="preserve">1) wprowadzenia obowiązkowej homologacji instalacji gazowej w pojeździe oraz zakazu instalowania niehomologowanej instalacji; </w:t>
            </w:r>
          </w:p>
          <w:p w14:paraId="7ADDF0D2" w14:textId="26B5B14D" w:rsidR="0075728B" w:rsidRPr="00EE6DC0" w:rsidRDefault="0075728B" w:rsidP="0042202B">
            <w:pPr>
              <w:autoSpaceDE w:val="0"/>
              <w:autoSpaceDN w:val="0"/>
              <w:adjustRightInd w:val="0"/>
              <w:rPr>
                <w:b/>
              </w:rPr>
            </w:pPr>
            <w:r w:rsidRPr="00EE6DC0">
              <w:rPr>
                <w:b/>
              </w:rPr>
              <w:t>2) wprowadzenia nadzoru nad spełnianiem warunków</w:t>
            </w:r>
          </w:p>
          <w:p w14:paraId="58C5C65D" w14:textId="77777777" w:rsidR="0075728B" w:rsidRPr="00EE6DC0" w:rsidRDefault="0075728B" w:rsidP="0042202B">
            <w:pPr>
              <w:autoSpaceDE w:val="0"/>
              <w:autoSpaceDN w:val="0"/>
              <w:adjustRightInd w:val="0"/>
              <w:rPr>
                <w:b/>
              </w:rPr>
            </w:pPr>
            <w:r w:rsidRPr="00EE6DC0">
              <w:rPr>
                <w:b/>
              </w:rPr>
              <w:t xml:space="preserve">technicznych przez hulajnogi elektryczne; </w:t>
            </w:r>
          </w:p>
          <w:p w14:paraId="5C150E72" w14:textId="5E2F26AA" w:rsidR="0075728B" w:rsidRPr="00EE6DC0" w:rsidRDefault="0075728B" w:rsidP="0042202B">
            <w:pPr>
              <w:autoSpaceDE w:val="0"/>
              <w:autoSpaceDN w:val="0"/>
              <w:adjustRightInd w:val="0"/>
              <w:rPr>
                <w:b/>
              </w:rPr>
            </w:pPr>
            <w:r w:rsidRPr="00EE6DC0">
              <w:rPr>
                <w:b/>
              </w:rPr>
              <w:t>3) określenia procedury krajowego indywidualnego dopuszczenia pojazdu niebędącego nowym pojazdem.</w:t>
            </w:r>
          </w:p>
        </w:tc>
        <w:tc>
          <w:tcPr>
            <w:tcW w:w="3827" w:type="dxa"/>
          </w:tcPr>
          <w:p w14:paraId="6685AC93" w14:textId="0D9081BF" w:rsidR="0075728B" w:rsidRDefault="0075728B" w:rsidP="0042202B">
            <w:pPr>
              <w:rPr>
                <w:b/>
              </w:rPr>
            </w:pPr>
            <w:r w:rsidRPr="00EE6DC0">
              <w:rPr>
                <w:b/>
              </w:rPr>
              <w:t>W ocenie MI przedmiotowe regulacje nie stanowią nadregulacji – uzasadnienie:</w:t>
            </w:r>
          </w:p>
          <w:p w14:paraId="7BCE2572" w14:textId="77777777" w:rsidR="0075728B" w:rsidRPr="00EE6DC0" w:rsidRDefault="0075728B" w:rsidP="0042202B">
            <w:pPr>
              <w:rPr>
                <w:b/>
              </w:rPr>
            </w:pPr>
          </w:p>
          <w:p w14:paraId="14177F69" w14:textId="30B169F9" w:rsidR="0075728B" w:rsidRPr="00EE6DC0" w:rsidRDefault="0075728B" w:rsidP="0042202B">
            <w:pPr>
              <w:rPr>
                <w:b/>
              </w:rPr>
            </w:pPr>
            <w:r w:rsidRPr="00EE6DC0">
              <w:rPr>
                <w:b/>
              </w:rPr>
              <w:t xml:space="preserve">1.Przewidziane w projekcie UC95 przepisy dotyczące procedury  homologacji montażu dodatkowej instalacji zasilania gazem pojazdu nie stanowią nowego obowiązku w stosunku do aktualnych przepisów </w:t>
            </w:r>
            <w:r>
              <w:rPr>
                <w:b/>
              </w:rPr>
              <w:t xml:space="preserve">– </w:t>
            </w:r>
            <w:r w:rsidRPr="00EE6DC0">
              <w:rPr>
                <w:b/>
              </w:rPr>
              <w:t xml:space="preserve">obowiązkowa homologacja w zakresie instalacji gazowej obowiązuje już od wielu lat w Polsce, na początku była uregulowana w przepisach ustawy z dnia 20 czerwca 1997 r. (Dz. U. </w:t>
            </w:r>
            <w:hyperlink w:history="1">
              <w:r w:rsidRPr="00EE6DC0">
                <w:rPr>
                  <w:b/>
                </w:rPr>
                <w:t>Nr 98, poz. 602</w:t>
              </w:r>
            </w:hyperlink>
            <w:r w:rsidRPr="00EE6DC0">
              <w:rPr>
                <w:b/>
              </w:rPr>
              <w:t xml:space="preserve">, z późn. zm.) – art. 68 ust. 3  i aktach wykonawczych m.in. w rozporządzeniu  Ministra Transportu i Gospodarki Morskiej z dnia 7 października 1999 r. w sprawie homologacji pojazdów </w:t>
            </w:r>
            <w:hyperlink w:history="1">
              <w:r w:rsidRPr="00EE6DC0">
                <w:rPr>
                  <w:b/>
                </w:rPr>
                <w:t>(Dz.U. Nr 91, poz. 1039)</w:t>
              </w:r>
            </w:hyperlink>
            <w:r w:rsidRPr="00EE6DC0">
              <w:rPr>
                <w:b/>
              </w:rPr>
              <w:t xml:space="preserve"> czy też w rozporządzeniu dedykowanym tylko tej procedurze tj. rozporządzeniu Ministra Infrastruktury z dnia 24 grudnia 2003 r. w sprawie homologacji sposobu montażu instalacji przystosowującej dany typ pojazdu do zasilania gazem </w:t>
            </w:r>
            <w:hyperlink w:history="1">
              <w:r w:rsidRPr="00EE6DC0">
                <w:rPr>
                  <w:b/>
                </w:rPr>
                <w:t>(Dz.U. Nr 232, poz. 2333)</w:t>
              </w:r>
            </w:hyperlink>
            <w:r w:rsidRPr="00EE6DC0">
              <w:rPr>
                <w:b/>
              </w:rPr>
              <w:t xml:space="preserve">. </w:t>
            </w:r>
          </w:p>
          <w:p w14:paraId="6492A469" w14:textId="77777777" w:rsidR="0075728B" w:rsidRPr="00EE6DC0" w:rsidRDefault="0075728B" w:rsidP="0042202B">
            <w:pPr>
              <w:rPr>
                <w:b/>
              </w:rPr>
            </w:pPr>
          </w:p>
          <w:p w14:paraId="5B8E4E9C" w14:textId="52E8EC15" w:rsidR="0075728B" w:rsidRPr="00EE6DC0" w:rsidRDefault="0075728B" w:rsidP="0042202B">
            <w:pPr>
              <w:rPr>
                <w:b/>
              </w:rPr>
            </w:pPr>
            <w:r w:rsidRPr="00EE6DC0">
              <w:rPr>
                <w:b/>
              </w:rPr>
              <w:t xml:space="preserve">W 2023 r.  procedura homologacji instalacji przystosowującej dany typ pojazdu do zasilania gazem została przeniesiona do nowej ustawy o systemach homologacji pojazdów oraz ich wyposażenia </w:t>
            </w:r>
            <w:r>
              <w:rPr>
                <w:b/>
              </w:rPr>
              <w:t>–</w:t>
            </w:r>
            <w:r w:rsidRPr="00EE6DC0">
              <w:rPr>
                <w:b/>
              </w:rPr>
              <w:t xml:space="preserve"> całościowo regulującej system homologacji w Polsce</w:t>
            </w:r>
            <w:r>
              <w:rPr>
                <w:b/>
              </w:rPr>
              <w:t xml:space="preserve"> (poz. 919)</w:t>
            </w:r>
            <w:r w:rsidRPr="00EE6DC0">
              <w:rPr>
                <w:b/>
              </w:rPr>
              <w:t xml:space="preserve">. </w:t>
            </w:r>
          </w:p>
          <w:p w14:paraId="46BB96BB" w14:textId="4C02ADE1" w:rsidR="0075728B" w:rsidRPr="00EE6DC0" w:rsidRDefault="0075728B" w:rsidP="0042202B">
            <w:pPr>
              <w:rPr>
                <w:b/>
              </w:rPr>
            </w:pPr>
            <w:r w:rsidRPr="00EE6DC0">
              <w:rPr>
                <w:b/>
              </w:rPr>
              <w:t xml:space="preserve">Z uwagi na wprowadzanie w UC95 kompleksowych przepisów w ramach nadzoru rynku i stosowania sankcji administracyjnych w ramach procedur homologacyjnych zgodnie z przepisami UE uznano za zasadne wprowadzenie rozwiązań w tym zakresie również w odniesieniu do krajowej procedury homologacji instalacji gazowej. </w:t>
            </w:r>
          </w:p>
          <w:p w14:paraId="1147A995" w14:textId="054184F6" w:rsidR="0075728B" w:rsidRPr="00EE6DC0" w:rsidRDefault="0075728B" w:rsidP="0042202B">
            <w:pPr>
              <w:rPr>
                <w:b/>
              </w:rPr>
            </w:pPr>
          </w:p>
          <w:p w14:paraId="5FC44845" w14:textId="64B7C444" w:rsidR="0075728B" w:rsidRPr="00EE6DC0" w:rsidRDefault="0075728B" w:rsidP="0042202B">
            <w:pPr>
              <w:rPr>
                <w:b/>
              </w:rPr>
            </w:pPr>
            <w:r w:rsidRPr="00EE6DC0">
              <w:rPr>
                <w:b/>
              </w:rPr>
              <w:t>2.Obowiązująca na gruncie unijnym procedura homologacji typu pojazdu w ramach rozporządzenia UE 168/2013 nie uwzględnia hulajnóg elektrycznych – poszczególne państwa członkowskie UE określają własne procedury krajowe w zakresie ich dopuszczania i zasad poruszania się w ruchu drogowym – regulacje w tym zakresie w PL zostały określone w ustawie z dnia 30 marca 2021 r. o zmianie ustawy – Prawo o ruchu drogowym oraz niektórych innych ustaw (Dz. U. poz. 720), a od strony technicznej w rozporządzeniu Ministra Infrastruktury z 6 października 2021 r. zmieniającego rozporządzenie w sprawie warunków technicznych pojazdów oraz zakresu ich niezbędnego wyposażenia (Dz. U. poz. 1877). Hulajnogi elektryczne są obecnie kontrolowane przez Inspekcję Handlową pod kątem zgodności z wymogami określonymi dla maszyn. Za kontrole hulajnóg elektrycznych na granicy UE odpowiadają z kolei służby celne.</w:t>
            </w:r>
          </w:p>
          <w:p w14:paraId="7FEE0A0A" w14:textId="728CA046" w:rsidR="0075728B" w:rsidRPr="00EE6DC0" w:rsidRDefault="0075728B" w:rsidP="0042202B">
            <w:pPr>
              <w:rPr>
                <w:b/>
              </w:rPr>
            </w:pPr>
            <w:r w:rsidRPr="00EE6DC0">
              <w:rPr>
                <w:b/>
              </w:rPr>
              <w:t>Wprowadzenie nadzoru TDT nad spełnieniem przez te pojazdy obowiązujących dla nich warunków technicznych jest kluczowe w kontekście coraz częstych wypadków z udziałem tego rodzaju pojazdów, które nie spełniają wymaganych przepisów od strony technicznej – pozwoli to</w:t>
            </w:r>
            <w:r>
              <w:rPr>
                <w:b/>
              </w:rPr>
              <w:t xml:space="preserve"> na</w:t>
            </w:r>
            <w:r w:rsidRPr="00EE6DC0">
              <w:rPr>
                <w:b/>
              </w:rPr>
              <w:t xml:space="preserve">  uszczelnienie systemu na etapie wprowadzania hulajnóg elektrycznych do obrotu w Polsce </w:t>
            </w:r>
            <w:r>
              <w:rPr>
                <w:b/>
              </w:rPr>
              <w:t xml:space="preserve">– </w:t>
            </w:r>
            <w:r w:rsidRPr="00EE6DC0">
              <w:rPr>
                <w:b/>
              </w:rPr>
              <w:t xml:space="preserve">Dyrektor TDT będzie miał możliwość współpracy z organami celno-skarbowymi </w:t>
            </w:r>
            <w:r>
              <w:rPr>
                <w:b/>
              </w:rPr>
              <w:t xml:space="preserve"> </w:t>
            </w:r>
            <w:r w:rsidRPr="00EE6DC0">
              <w:rPr>
                <w:b/>
              </w:rPr>
              <w:t>i weryfikacji przed ich dopuszczaniem w Polsce nie tylko dokumentacji technicznej, ale również kontroli z celnikami na granicy, w portach morskich, czy spełniają wymagane warunki techniczne, co powinno ograniczyć import hulajnóg elektrycznych niezgodnych z wymaganiami.</w:t>
            </w:r>
          </w:p>
          <w:p w14:paraId="3F9CE558" w14:textId="77777777" w:rsidR="0075728B" w:rsidRPr="00EE6DC0" w:rsidRDefault="0075728B" w:rsidP="0042202B">
            <w:pPr>
              <w:rPr>
                <w:b/>
              </w:rPr>
            </w:pPr>
          </w:p>
          <w:p w14:paraId="2ED821E1" w14:textId="5C80EEAF" w:rsidR="0075728B" w:rsidRPr="00EE6DC0" w:rsidRDefault="0075728B" w:rsidP="0042202B">
            <w:pPr>
              <w:rPr>
                <w:b/>
              </w:rPr>
            </w:pPr>
            <w:r w:rsidRPr="00EE6DC0">
              <w:rPr>
                <w:b/>
              </w:rPr>
              <w:t>3. Na poziomie regulacji UE i krajów członkowskich UE nie ma jednolitego podejścia w zakresie dopuszczania do ruchu pojazdów spoza UE – na podstawie pozyskanych informacji duża część krajów stosuje jednak procedury krajowe (homologacja/dopuszczenie indywidualne), weryfikujące spełniane przez te pojazdy wymagania techniczne, celem zapewnienia odpowiedniego poziomu bezpieczeństwa ruchu drogowego i ochrony środowiska. Należy zauważyć, iż zaproponowane w UC95 podejście do pojazdów spoza UE znajduje uzasadnienie w stanowisku Komisji Europejskiej, jakie uzyska</w:t>
            </w:r>
            <w:r>
              <w:rPr>
                <w:b/>
              </w:rPr>
              <w:t>no</w:t>
            </w:r>
            <w:r w:rsidRPr="00EE6DC0">
              <w:rPr>
                <w:b/>
              </w:rPr>
              <w:t xml:space="preserve"> w styczniu br. (strona 3 OSR) w kontekście potrzeby dążenia do całkowitej harmonizacji wymagań dla wszystkich pojazdów dopuszczonych na obszarze UE.</w:t>
            </w:r>
          </w:p>
        </w:tc>
        <w:tc>
          <w:tcPr>
            <w:tcW w:w="3686" w:type="dxa"/>
          </w:tcPr>
          <w:p w14:paraId="7E7E41E6" w14:textId="77777777" w:rsidR="0075728B" w:rsidRDefault="0075728B" w:rsidP="0042202B">
            <w:pPr>
              <w:rPr>
                <w:b/>
              </w:rPr>
            </w:pPr>
            <w:r>
              <w:rPr>
                <w:b/>
              </w:rPr>
              <w:t xml:space="preserve">Akceptacja – do uzasadnienia </w:t>
            </w:r>
          </w:p>
          <w:p w14:paraId="0ED6B54A" w14:textId="77777777" w:rsidR="00E64CC3" w:rsidRDefault="00E64CC3" w:rsidP="0042202B">
            <w:pPr>
              <w:rPr>
                <w:b/>
              </w:rPr>
            </w:pPr>
          </w:p>
          <w:p w14:paraId="3FF00F82" w14:textId="77777777" w:rsidR="00E64CC3" w:rsidRDefault="00E64CC3" w:rsidP="0042202B">
            <w:pPr>
              <w:rPr>
                <w:b/>
                <w:color w:val="0070C0"/>
              </w:rPr>
            </w:pPr>
            <w:r w:rsidRPr="00E64CC3">
              <w:rPr>
                <w:b/>
                <w:color w:val="0070C0"/>
              </w:rPr>
              <w:t>Informacja zawarta w pkt</w:t>
            </w:r>
            <w:r>
              <w:rPr>
                <w:b/>
                <w:color w:val="0070C0"/>
              </w:rPr>
              <w:t xml:space="preserve"> 8</w:t>
            </w:r>
            <w:r w:rsidRPr="00E64CC3">
              <w:rPr>
                <w:b/>
                <w:color w:val="0070C0"/>
              </w:rPr>
              <w:t xml:space="preserve"> OSR. </w:t>
            </w:r>
          </w:p>
          <w:p w14:paraId="62B8BD4F" w14:textId="77777777" w:rsidR="00450239" w:rsidRDefault="00450239" w:rsidP="0042202B">
            <w:pPr>
              <w:rPr>
                <w:b/>
              </w:rPr>
            </w:pPr>
          </w:p>
          <w:p w14:paraId="0BF91951" w14:textId="77777777" w:rsidR="00450239" w:rsidRDefault="00450239" w:rsidP="0042202B">
            <w:pPr>
              <w:rPr>
                <w:b/>
              </w:rPr>
            </w:pPr>
          </w:p>
          <w:p w14:paraId="379A0793" w14:textId="64437C01" w:rsidR="00450239" w:rsidRPr="00EE6DC0" w:rsidRDefault="00450239" w:rsidP="00C03CB3">
            <w:pPr>
              <w:rPr>
                <w:b/>
              </w:rPr>
            </w:pPr>
          </w:p>
        </w:tc>
      </w:tr>
      <w:tr w:rsidR="0075728B" w:rsidRPr="00C64601" w14:paraId="015109BA" w14:textId="2B216C8B" w:rsidTr="00D76FE7">
        <w:tc>
          <w:tcPr>
            <w:tcW w:w="562" w:type="dxa"/>
          </w:tcPr>
          <w:p w14:paraId="29634403" w14:textId="5AE14379" w:rsidR="0075728B" w:rsidRPr="00EE6DC0" w:rsidRDefault="0075728B" w:rsidP="0042202B">
            <w:pPr>
              <w:rPr>
                <w:b/>
              </w:rPr>
            </w:pPr>
            <w:r>
              <w:rPr>
                <w:b/>
              </w:rPr>
              <w:t>132</w:t>
            </w:r>
          </w:p>
        </w:tc>
        <w:tc>
          <w:tcPr>
            <w:tcW w:w="2694" w:type="dxa"/>
            <w:gridSpan w:val="2"/>
          </w:tcPr>
          <w:p w14:paraId="69440C3B" w14:textId="0481DFC2" w:rsidR="0075728B" w:rsidRPr="00EE6DC0" w:rsidRDefault="0075728B" w:rsidP="0042202B">
            <w:pPr>
              <w:rPr>
                <w:b/>
              </w:rPr>
            </w:pPr>
            <w:r>
              <w:rPr>
                <w:b/>
              </w:rPr>
              <w:t>Na podstawie analizy uwag związanych z przepisami w zakresie nadzoru rynku w projekcie zaproponowano nowe zapisy:</w:t>
            </w:r>
          </w:p>
        </w:tc>
        <w:tc>
          <w:tcPr>
            <w:tcW w:w="5953" w:type="dxa"/>
          </w:tcPr>
          <w:p w14:paraId="06398384" w14:textId="229EC560" w:rsidR="0075728B" w:rsidRPr="000E2A4C" w:rsidRDefault="0075728B" w:rsidP="0042202B">
            <w:pPr>
              <w:rPr>
                <w:b/>
                <w:i/>
              </w:rPr>
            </w:pPr>
            <w:r>
              <w:rPr>
                <w:b/>
                <w:i/>
              </w:rPr>
              <w:t>„</w:t>
            </w:r>
            <w:r w:rsidRPr="000E2A4C">
              <w:rPr>
                <w:b/>
                <w:i/>
              </w:rPr>
              <w:t xml:space="preserve">Art. 68x ust. 7. Dyrektor TDT jako organ nadzoru rynku może zwrócić się do </w:t>
            </w:r>
            <w:bookmarkStart w:id="73" w:name="_Hlk220932349"/>
            <w:r w:rsidRPr="000E2A4C">
              <w:rPr>
                <w:b/>
                <w:i/>
              </w:rPr>
              <w:t xml:space="preserve">Policji lub organu kontroli </w:t>
            </w:r>
            <w:bookmarkEnd w:id="73"/>
            <w:r w:rsidR="009A78A6">
              <w:rPr>
                <w:b/>
                <w:i/>
              </w:rPr>
              <w:t xml:space="preserve">drogowej </w:t>
            </w:r>
            <w:r w:rsidRPr="000E2A4C">
              <w:rPr>
                <w:b/>
                <w:i/>
              </w:rPr>
              <w:t>o udzielenie pomocy w przeprowadzeniu kontroli, jeżeli jest to niezbędne do przeprowadzenia kontroli.</w:t>
            </w:r>
          </w:p>
          <w:p w14:paraId="67771520" w14:textId="4006AE8B" w:rsidR="0075728B" w:rsidRPr="000E2A4C" w:rsidRDefault="0075728B" w:rsidP="0042202B">
            <w:pPr>
              <w:rPr>
                <w:b/>
                <w:i/>
              </w:rPr>
            </w:pPr>
            <w:r w:rsidRPr="000E2A4C">
              <w:rPr>
                <w:b/>
                <w:i/>
              </w:rPr>
              <w:t>8. Policja lub organ kontroli, o którym mowa w ust. 7, zapewniają pomoc w przeprowadzeniu kontroli. Pomoc udzielana przez Policję polega na zapewnieniu porządku w miejscu przeprowadzania kontroli i osobistego bezpieczeństwa osób obecnych w tym miejscu, a także na ustaleniu tożsamości osób.</w:t>
            </w:r>
          </w:p>
          <w:p w14:paraId="5E7252FA" w14:textId="5B62ECF3" w:rsidR="0075728B" w:rsidRPr="000E2A4C" w:rsidRDefault="0075728B" w:rsidP="0042202B">
            <w:pPr>
              <w:rPr>
                <w:b/>
                <w:i/>
              </w:rPr>
            </w:pPr>
            <w:r w:rsidRPr="000E2A4C">
              <w:rPr>
                <w:b/>
                <w:i/>
              </w:rPr>
              <w:t>9. Dyrektor TDT jako organ nadzoru rynku występuje na piśmie o udzielenie pomocy do komendanta wojewódzkiego Policji właściwego ze względu na miejsce kontroli lub organu kontroli, o którym mowa w ust. 7, co najmniej 7 dni przed planowanym dniem przeprowadzenia kontroli. W przypadkach niecierpiących zwłoki Dyrektor TDT jako organ nadzoru rynku występuje z wnioskiem, co najmniej 3 dni przed planowanym dniem przeprowadzenia kontroli.</w:t>
            </w:r>
          </w:p>
          <w:p w14:paraId="72962ADE" w14:textId="1CC71D45" w:rsidR="0075728B" w:rsidRPr="000E2A4C" w:rsidRDefault="0075728B" w:rsidP="0042202B">
            <w:pPr>
              <w:pStyle w:val="ZUSTzmustartykuempunktem"/>
              <w:spacing w:line="240" w:lineRule="auto"/>
              <w:ind w:left="0" w:firstLine="0"/>
              <w:jc w:val="left"/>
              <w:rPr>
                <w:rFonts w:asciiTheme="minorHAnsi" w:eastAsiaTheme="minorHAnsi" w:hAnsiTheme="minorHAnsi" w:cstheme="minorBidi"/>
                <w:b/>
                <w:i/>
                <w:sz w:val="22"/>
                <w:szCs w:val="22"/>
                <w:lang w:eastAsia="en-US"/>
              </w:rPr>
            </w:pPr>
            <w:r w:rsidRPr="000E2A4C">
              <w:rPr>
                <w:rFonts w:asciiTheme="minorHAnsi" w:eastAsiaTheme="minorHAnsi" w:hAnsiTheme="minorHAnsi" w:cstheme="minorBidi"/>
                <w:b/>
                <w:i/>
                <w:sz w:val="22"/>
                <w:szCs w:val="22"/>
                <w:lang w:eastAsia="en-US"/>
              </w:rPr>
              <w:t>10. Koszty poniesione przez Policję lub organ kontroli, o którym mowa w ust. 1, z tytułu udzielonej pomocy w przeprowadzeniu kontroli ponosi Dyrektor TDT jako organ nadzoru rynku. Koszty te ustala się według stawki zryczałtowanej w wysokości 1,5% przeciętnego miesięcznego wynagrodzenia w sektorze przedsiębiorstw bez wypłat nagród z zysku w czwartym kwartale roku poprzedniego, ogłaszanego przez Prezesa Głównego Urzędu Statystycznego, za każdy przypadek udzielenia pomocy.”</w:t>
            </w:r>
          </w:p>
        </w:tc>
        <w:tc>
          <w:tcPr>
            <w:tcW w:w="3827" w:type="dxa"/>
          </w:tcPr>
          <w:p w14:paraId="43459707" w14:textId="3EFDB31A" w:rsidR="0075728B" w:rsidRPr="000E2A4C" w:rsidRDefault="0075728B" w:rsidP="0042202B">
            <w:pPr>
              <w:rPr>
                <w:b/>
              </w:rPr>
            </w:pPr>
            <w:r w:rsidRPr="000E2A4C">
              <w:rPr>
                <w:b/>
              </w:rPr>
              <w:t>W związku z przypadkami zagrożenia dla bezpieczeństwa</w:t>
            </w:r>
            <w:r>
              <w:rPr>
                <w:b/>
              </w:rPr>
              <w:t xml:space="preserve"> </w:t>
            </w:r>
            <w:r w:rsidRPr="000E2A4C">
              <w:rPr>
                <w:b/>
              </w:rPr>
              <w:t>os</w:t>
            </w:r>
            <w:r>
              <w:rPr>
                <w:b/>
              </w:rPr>
              <w:t>ób</w:t>
            </w:r>
            <w:r w:rsidRPr="000E2A4C">
              <w:rPr>
                <w:b/>
              </w:rPr>
              <w:t xml:space="preserve"> przeprowadzając</w:t>
            </w:r>
            <w:r>
              <w:rPr>
                <w:b/>
              </w:rPr>
              <w:t xml:space="preserve">ych </w:t>
            </w:r>
            <w:r w:rsidRPr="000E2A4C">
              <w:rPr>
                <w:b/>
              </w:rPr>
              <w:t>kontrole fizyczne</w:t>
            </w:r>
            <w:r>
              <w:rPr>
                <w:b/>
              </w:rPr>
              <w:t xml:space="preserve"> w ramach TDT, celem zapewnienia porządku i  sprawnego przeprowadzenia kontroli, w szczególności w sytuacjach, w których istnieje duże ryzyko pojawienia się oporu ze strony kontrolowanego i zagrożenie dla </w:t>
            </w:r>
            <w:r w:rsidRPr="00A22F41">
              <w:rPr>
                <w:b/>
              </w:rPr>
              <w:t>osobistego bezpieczeństwa osób obecnych w miejscu</w:t>
            </w:r>
            <w:r>
              <w:rPr>
                <w:b/>
              </w:rPr>
              <w:t xml:space="preserve"> </w:t>
            </w:r>
            <w:r w:rsidRPr="00A22F41">
              <w:rPr>
                <w:b/>
              </w:rPr>
              <w:t>przeprowadzania</w:t>
            </w:r>
            <w:r>
              <w:rPr>
                <w:b/>
              </w:rPr>
              <w:t xml:space="preserve"> kontroli, zaproponowano r</w:t>
            </w:r>
            <w:r w:rsidRPr="000E2A4C">
              <w:rPr>
                <w:b/>
              </w:rPr>
              <w:t xml:space="preserve">ozwiązanie </w:t>
            </w:r>
            <w:r>
              <w:rPr>
                <w:b/>
              </w:rPr>
              <w:t xml:space="preserve">analogiczne jak w ustawie </w:t>
            </w:r>
            <w:r w:rsidRPr="00AB7682">
              <w:rPr>
                <w:b/>
              </w:rPr>
              <w:t>z dnia 16 lutego 2007 r.</w:t>
            </w:r>
            <w:r w:rsidRPr="000E2A4C">
              <w:rPr>
                <w:b/>
              </w:rPr>
              <w:t xml:space="preserve"> </w:t>
            </w:r>
            <w:r>
              <w:rPr>
                <w:b/>
              </w:rPr>
              <w:t>o ochronie konkurencji i konsumentów</w:t>
            </w:r>
            <w:r w:rsidRPr="00AB7682">
              <w:rPr>
                <w:b/>
              </w:rPr>
              <w:t xml:space="preserve"> </w:t>
            </w:r>
            <w:hyperlink r:id="rId12" w:history="1">
              <w:r w:rsidRPr="00AB7682">
                <w:rPr>
                  <w:b/>
                </w:rPr>
                <w:t>(Dz.</w:t>
              </w:r>
              <w:r>
                <w:rPr>
                  <w:b/>
                </w:rPr>
                <w:t xml:space="preserve"> </w:t>
              </w:r>
              <w:r w:rsidRPr="00AB7682">
                <w:rPr>
                  <w:b/>
                </w:rPr>
                <w:t>U. z 2025 r. poz. 1714)</w:t>
              </w:r>
            </w:hyperlink>
            <w:r>
              <w:rPr>
                <w:b/>
              </w:rPr>
              <w:t>:</w:t>
            </w:r>
          </w:p>
          <w:p w14:paraId="73ADC278" w14:textId="011278E9" w:rsidR="0075728B" w:rsidRPr="00AB7682" w:rsidRDefault="0075728B" w:rsidP="0042202B">
            <w:pPr>
              <w:rPr>
                <w:b/>
                <w:i/>
              </w:rPr>
            </w:pPr>
            <w:r>
              <w:rPr>
                <w:b/>
                <w:i/>
              </w:rPr>
              <w:t>„</w:t>
            </w:r>
            <w:r w:rsidRPr="00AB7682">
              <w:rPr>
                <w:b/>
                <w:i/>
              </w:rPr>
              <w:t xml:space="preserve">Art. 105nc </w:t>
            </w:r>
          </w:p>
          <w:p w14:paraId="6C0A5CEB" w14:textId="77777777" w:rsidR="0075728B" w:rsidRPr="00AB7682" w:rsidRDefault="0075728B" w:rsidP="0042202B">
            <w:pPr>
              <w:rPr>
                <w:b/>
                <w:i/>
              </w:rPr>
            </w:pPr>
            <w:r w:rsidRPr="00AB7682">
              <w:rPr>
                <w:b/>
                <w:i/>
              </w:rPr>
              <w:t xml:space="preserve">1. Prezes Urzędu może zwrócić się do Policji lub organu kontroli państwowej o udzielenie pomocy w przeszukaniu, jeżeli jest to niezbędne do przeprowadzenia przeszukania. Przepisy </w:t>
            </w:r>
            <w:hyperlink r:id="rId13" w:history="1">
              <w:r w:rsidRPr="00AB7682">
                <w:rPr>
                  <w:b/>
                  <w:i/>
                </w:rPr>
                <w:t>art. 105ca ust. 2</w:t>
              </w:r>
            </w:hyperlink>
            <w:r w:rsidRPr="00AB7682">
              <w:rPr>
                <w:b/>
                <w:i/>
              </w:rPr>
              <w:t xml:space="preserve"> zdanie pierwsze i ust. 3 stosuje się odpowiednio.</w:t>
            </w:r>
          </w:p>
          <w:p w14:paraId="649B8FCA" w14:textId="77777777" w:rsidR="0075728B" w:rsidRPr="00AB7682" w:rsidRDefault="0075728B" w:rsidP="0042202B">
            <w:pPr>
              <w:rPr>
                <w:b/>
                <w:i/>
              </w:rPr>
            </w:pPr>
            <w:r w:rsidRPr="00AB7682">
              <w:rPr>
                <w:b/>
                <w:i/>
              </w:rPr>
              <w:t>2. Pomoc udzielana przez funkcjonariuszy Policji polega na:</w:t>
            </w:r>
          </w:p>
          <w:p w14:paraId="6CDE2F06" w14:textId="443355AA" w:rsidR="0075728B" w:rsidRPr="00AB7682" w:rsidRDefault="0075728B" w:rsidP="0042202B">
            <w:pPr>
              <w:rPr>
                <w:b/>
                <w:i/>
              </w:rPr>
            </w:pPr>
            <w:r w:rsidRPr="00AB7682">
              <w:rPr>
                <w:b/>
                <w:i/>
              </w:rPr>
              <w:t>1)</w:t>
            </w:r>
            <w:r>
              <w:rPr>
                <w:b/>
                <w:i/>
              </w:rPr>
              <w:t xml:space="preserve"> </w:t>
            </w:r>
            <w:r w:rsidRPr="00AB7682">
              <w:rPr>
                <w:b/>
                <w:i/>
              </w:rPr>
              <w:t>umożliwieniu rozpoczęcia lub przeprowadzenia przeszukania;</w:t>
            </w:r>
          </w:p>
          <w:p w14:paraId="13833593" w14:textId="006A2FBB" w:rsidR="0075728B" w:rsidRPr="00AB7682" w:rsidRDefault="0075728B" w:rsidP="0042202B">
            <w:pPr>
              <w:rPr>
                <w:b/>
                <w:i/>
              </w:rPr>
            </w:pPr>
            <w:r w:rsidRPr="00AB7682">
              <w:rPr>
                <w:b/>
                <w:i/>
              </w:rPr>
              <w:t>2)</w:t>
            </w:r>
            <w:r>
              <w:rPr>
                <w:b/>
                <w:i/>
              </w:rPr>
              <w:t xml:space="preserve"> </w:t>
            </w:r>
            <w:r w:rsidRPr="00AB7682">
              <w:rPr>
                <w:b/>
                <w:i/>
              </w:rPr>
              <w:t>zapewnieniu porządku w miejscu przeprowadzania przeszukania i osobistego bezpieczeństwa osób obecnych w tym miejscu, a także ustaleniu tożsamości osób.</w:t>
            </w:r>
          </w:p>
          <w:p w14:paraId="2BAB1009" w14:textId="77777777" w:rsidR="0075728B" w:rsidRPr="00AB7682" w:rsidRDefault="0075728B" w:rsidP="0042202B">
            <w:pPr>
              <w:rPr>
                <w:b/>
                <w:i/>
              </w:rPr>
            </w:pPr>
            <w:r w:rsidRPr="00AB7682">
              <w:rPr>
                <w:b/>
                <w:i/>
              </w:rPr>
              <w:t>3. Funkcjonariusz Policji, w przypadku napotkania oporu ze strony przeszukiwanego lub innych osób, który utrudnia lub uniemożliwia rozpoczęcie lub przeprowadzenie przeszukania, ustnie wzywa te osoby do zachowania umożliwiającego rozpoczęcie lub przeprowadzenie przeszukania przez przeszukujących.</w:t>
            </w:r>
          </w:p>
          <w:p w14:paraId="5C92F59F" w14:textId="77777777" w:rsidR="0075728B" w:rsidRPr="00AB7682" w:rsidRDefault="0075728B" w:rsidP="0042202B">
            <w:pPr>
              <w:rPr>
                <w:b/>
                <w:i/>
              </w:rPr>
            </w:pPr>
            <w:r w:rsidRPr="00AB7682">
              <w:rPr>
                <w:b/>
                <w:i/>
              </w:rPr>
              <w:t>4. W przypadku niezastosowania się do wezwania funkcjonariusz Policji podejmuje wobec danej osoby czynności zmierzające do umożliwienia rozpoczęcia lub przeprowadzenia przeszukania przez przeszukujących.</w:t>
            </w:r>
          </w:p>
          <w:p w14:paraId="49F0DA99" w14:textId="59518E22" w:rsidR="0075728B" w:rsidRDefault="0075728B" w:rsidP="0042202B">
            <w:pPr>
              <w:rPr>
                <w:b/>
                <w:i/>
              </w:rPr>
            </w:pPr>
            <w:r w:rsidRPr="00AB7682">
              <w:rPr>
                <w:b/>
                <w:i/>
              </w:rPr>
              <w:t xml:space="preserve">5. Do poniesionych kosztów pomocy udzielonej przez Policję lub organ kontroli państwowej przepis </w:t>
            </w:r>
            <w:hyperlink r:id="rId14" w:history="1">
              <w:r w:rsidRPr="00AB7682">
                <w:rPr>
                  <w:b/>
                  <w:i/>
                </w:rPr>
                <w:t>art. 105ca ust. 4</w:t>
              </w:r>
            </w:hyperlink>
            <w:r w:rsidRPr="00AB7682">
              <w:rPr>
                <w:b/>
                <w:i/>
              </w:rPr>
              <w:t xml:space="preserve"> stosuje się odpowiednio.</w:t>
            </w:r>
            <w:r>
              <w:rPr>
                <w:b/>
                <w:i/>
              </w:rPr>
              <w:t>”</w:t>
            </w:r>
          </w:p>
          <w:p w14:paraId="05F77506" w14:textId="0792E896" w:rsidR="0075728B" w:rsidRPr="00AB7682" w:rsidRDefault="0075728B" w:rsidP="0042202B">
            <w:pPr>
              <w:rPr>
                <w:b/>
              </w:rPr>
            </w:pPr>
            <w:r>
              <w:rPr>
                <w:b/>
              </w:rPr>
              <w:t xml:space="preserve">Analogiczne rozwiązanie zostało zaproponowane w procedowanym przez MRiT projekcie UC45. </w:t>
            </w:r>
          </w:p>
        </w:tc>
        <w:tc>
          <w:tcPr>
            <w:tcW w:w="3686" w:type="dxa"/>
          </w:tcPr>
          <w:p w14:paraId="3C4DD7AE" w14:textId="401D4C1C" w:rsidR="0075728B" w:rsidRPr="000E2A4C" w:rsidRDefault="00E64CC3" w:rsidP="0042202B">
            <w:pPr>
              <w:rPr>
                <w:b/>
              </w:rPr>
            </w:pPr>
            <w:r w:rsidRPr="00E64CC3">
              <w:rPr>
                <w:b/>
                <w:color w:val="0070C0"/>
              </w:rPr>
              <w:t xml:space="preserve">Art. 68zd – przygotowany na podstawie projektu UC45. </w:t>
            </w:r>
          </w:p>
        </w:tc>
      </w:tr>
      <w:tr w:rsidR="0075728B" w:rsidRPr="00C64601" w14:paraId="5993C09F" w14:textId="1157F71F" w:rsidTr="00D76FE7">
        <w:tc>
          <w:tcPr>
            <w:tcW w:w="562" w:type="dxa"/>
          </w:tcPr>
          <w:p w14:paraId="3EE1CFCF" w14:textId="6CABA6E6" w:rsidR="0075728B" w:rsidRPr="00EE6DC0" w:rsidRDefault="0075728B" w:rsidP="0042202B">
            <w:pPr>
              <w:rPr>
                <w:b/>
              </w:rPr>
            </w:pPr>
            <w:r>
              <w:rPr>
                <w:b/>
              </w:rPr>
              <w:t>133</w:t>
            </w:r>
          </w:p>
        </w:tc>
        <w:tc>
          <w:tcPr>
            <w:tcW w:w="2694" w:type="dxa"/>
            <w:gridSpan w:val="2"/>
          </w:tcPr>
          <w:p w14:paraId="016DCFDF" w14:textId="7CB714CF" w:rsidR="0075728B" w:rsidRPr="00EE6DC0" w:rsidRDefault="0075728B" w:rsidP="0042202B">
            <w:pPr>
              <w:rPr>
                <w:b/>
              </w:rPr>
            </w:pPr>
            <w:r>
              <w:rPr>
                <w:b/>
              </w:rPr>
              <w:t>j.w.</w:t>
            </w:r>
          </w:p>
        </w:tc>
        <w:tc>
          <w:tcPr>
            <w:tcW w:w="5953" w:type="dxa"/>
          </w:tcPr>
          <w:p w14:paraId="5E320983" w14:textId="77777777" w:rsidR="0075728B" w:rsidRPr="000E2A4C" w:rsidRDefault="0075728B" w:rsidP="0042202B">
            <w:pPr>
              <w:rPr>
                <w:b/>
                <w:i/>
              </w:rPr>
            </w:pPr>
            <w:r w:rsidRPr="000E2A4C">
              <w:rPr>
                <w:b/>
                <w:i/>
              </w:rPr>
              <w:t>„Art. 68zl ust. 5. Minister właściwy do spraw informatyzacji sporządza na podstawie danych zawartych w ewidencji i przedkłada Dyrektorowi TDT jako organowi nadzoru rynku, w terminie do 15 dnia drugiego miesiąca następującego po upływie każdego kwartału, informację o nowo zarejestrowanych pojazdach.</w:t>
            </w:r>
          </w:p>
          <w:p w14:paraId="40A3D0EA" w14:textId="10EBF125" w:rsidR="0075728B" w:rsidRDefault="0075728B" w:rsidP="000E76C9">
            <w:pPr>
              <w:pStyle w:val="Default"/>
              <w:numPr>
                <w:ilvl w:val="0"/>
                <w:numId w:val="15"/>
              </w:numPr>
              <w:rPr>
                <w:rFonts w:asciiTheme="minorHAnsi" w:eastAsiaTheme="minorHAnsi" w:hAnsiTheme="minorHAnsi" w:cstheme="minorBidi"/>
                <w:b/>
                <w:i/>
                <w:color w:val="auto"/>
                <w:sz w:val="22"/>
                <w:szCs w:val="22"/>
                <w:lang w:eastAsia="en-US"/>
              </w:rPr>
            </w:pPr>
            <w:r w:rsidRPr="000E2A4C">
              <w:rPr>
                <w:rFonts w:asciiTheme="minorHAnsi" w:eastAsiaTheme="minorHAnsi" w:hAnsiTheme="minorHAnsi" w:cstheme="minorBidi"/>
                <w:b/>
                <w:i/>
                <w:color w:val="auto"/>
                <w:sz w:val="22"/>
                <w:szCs w:val="22"/>
                <w:lang w:eastAsia="en-US"/>
              </w:rPr>
              <w:t>Informacja, o której mowa w ust. 5, zawiera zestawienie zarejestrowanych pojazdów w danym kwartale obejmującym rodzaj pojazdu, kategorię, producenta, markę, model, numer świadectwa homologacji typu oraz datę rejestracji.”</w:t>
            </w:r>
          </w:p>
          <w:p w14:paraId="351F682A" w14:textId="468EE2C5" w:rsidR="000E76C9" w:rsidRDefault="000E76C9" w:rsidP="000E76C9">
            <w:pPr>
              <w:pStyle w:val="Default"/>
              <w:rPr>
                <w:rFonts w:asciiTheme="minorHAnsi" w:eastAsiaTheme="minorHAnsi" w:hAnsiTheme="minorHAnsi" w:cstheme="minorBidi"/>
                <w:b/>
                <w:i/>
                <w:color w:val="auto"/>
                <w:sz w:val="22"/>
                <w:szCs w:val="22"/>
                <w:lang w:eastAsia="en-US"/>
              </w:rPr>
            </w:pPr>
          </w:p>
          <w:p w14:paraId="729E8099" w14:textId="45B8500A" w:rsidR="000E76C9" w:rsidRDefault="000E76C9" w:rsidP="000E76C9">
            <w:pPr>
              <w:pStyle w:val="Default"/>
              <w:rPr>
                <w:rFonts w:asciiTheme="minorHAnsi" w:eastAsiaTheme="minorHAnsi" w:hAnsiTheme="minorHAnsi" w:cstheme="minorBidi"/>
                <w:b/>
                <w:i/>
                <w:color w:val="auto"/>
                <w:sz w:val="22"/>
                <w:szCs w:val="22"/>
                <w:lang w:eastAsia="en-US"/>
              </w:rPr>
            </w:pPr>
          </w:p>
          <w:p w14:paraId="4AE35D2F" w14:textId="77777777" w:rsidR="000E76C9" w:rsidRPr="000E2A4C" w:rsidRDefault="000E76C9" w:rsidP="000E76C9">
            <w:pPr>
              <w:pStyle w:val="Default"/>
              <w:rPr>
                <w:rFonts w:asciiTheme="minorHAnsi" w:eastAsiaTheme="minorHAnsi" w:hAnsiTheme="minorHAnsi" w:cstheme="minorBidi"/>
                <w:b/>
                <w:i/>
                <w:color w:val="auto"/>
                <w:sz w:val="22"/>
                <w:szCs w:val="22"/>
                <w:lang w:eastAsia="en-US"/>
              </w:rPr>
            </w:pPr>
          </w:p>
          <w:p w14:paraId="6CCC542F" w14:textId="77777777" w:rsidR="0075728B" w:rsidRPr="00EE6DC0" w:rsidRDefault="0075728B" w:rsidP="0042202B">
            <w:pPr>
              <w:autoSpaceDE w:val="0"/>
              <w:autoSpaceDN w:val="0"/>
              <w:adjustRightInd w:val="0"/>
              <w:rPr>
                <w:b/>
              </w:rPr>
            </w:pPr>
          </w:p>
        </w:tc>
        <w:tc>
          <w:tcPr>
            <w:tcW w:w="3827" w:type="dxa"/>
          </w:tcPr>
          <w:p w14:paraId="7C03E5AE" w14:textId="69F6C491" w:rsidR="0075728B" w:rsidRPr="00A22F41" w:rsidRDefault="0075728B" w:rsidP="0042202B">
            <w:pPr>
              <w:rPr>
                <w:b/>
              </w:rPr>
            </w:pPr>
            <w:r>
              <w:rPr>
                <w:b/>
              </w:rPr>
              <w:t xml:space="preserve">Celem </w:t>
            </w:r>
            <w:r w:rsidRPr="00A22F41">
              <w:rPr>
                <w:b/>
              </w:rPr>
              <w:t>przekaz</w:t>
            </w:r>
            <w:r>
              <w:rPr>
                <w:b/>
              </w:rPr>
              <w:t>ywania</w:t>
            </w:r>
            <w:r w:rsidRPr="00A22F41">
              <w:rPr>
                <w:b/>
              </w:rPr>
              <w:t xml:space="preserve"> </w:t>
            </w:r>
            <w:r>
              <w:rPr>
                <w:b/>
              </w:rPr>
              <w:t>D</w:t>
            </w:r>
            <w:r w:rsidRPr="00A22F41">
              <w:rPr>
                <w:b/>
              </w:rPr>
              <w:t>yrektorowi TDT jako organowi nadzoru rynku informacj</w:t>
            </w:r>
            <w:r>
              <w:rPr>
                <w:b/>
              </w:rPr>
              <w:t>i</w:t>
            </w:r>
            <w:r w:rsidRPr="00A22F41">
              <w:rPr>
                <w:b/>
              </w:rPr>
              <w:t xml:space="preserve"> o nowo zarejestrowanych pojazdach </w:t>
            </w:r>
            <w:r>
              <w:rPr>
                <w:b/>
              </w:rPr>
              <w:t>jest zapewnienie</w:t>
            </w:r>
            <w:r w:rsidRPr="00A22F41">
              <w:rPr>
                <w:b/>
              </w:rPr>
              <w:t xml:space="preserve"> sprawnej i skutecznej weryfikacji wnoszonych opłat na nadzór rynku motoryzacyjnego.</w:t>
            </w:r>
          </w:p>
          <w:p w14:paraId="75C6756D" w14:textId="77777777" w:rsidR="0075728B" w:rsidRPr="00EE6DC0" w:rsidRDefault="0075728B" w:rsidP="0042202B">
            <w:pPr>
              <w:rPr>
                <w:b/>
              </w:rPr>
            </w:pPr>
          </w:p>
        </w:tc>
        <w:tc>
          <w:tcPr>
            <w:tcW w:w="3686" w:type="dxa"/>
          </w:tcPr>
          <w:p w14:paraId="45BB61EF" w14:textId="77777777" w:rsidR="0075728B" w:rsidRDefault="0075728B" w:rsidP="0042202B">
            <w:pPr>
              <w:rPr>
                <w:b/>
              </w:rPr>
            </w:pPr>
            <w:r>
              <w:rPr>
                <w:b/>
              </w:rPr>
              <w:t>Do omówienia z MC zakres raportu</w:t>
            </w:r>
            <w:r w:rsidR="00EC6EC7">
              <w:rPr>
                <w:b/>
              </w:rPr>
              <w:t xml:space="preserve"> w trakcie spotkania</w:t>
            </w:r>
            <w:r w:rsidR="00E64CC3">
              <w:rPr>
                <w:b/>
              </w:rPr>
              <w:t>.</w:t>
            </w:r>
          </w:p>
          <w:p w14:paraId="2D27DB46" w14:textId="77777777" w:rsidR="00E64CC3" w:rsidRDefault="00E64CC3" w:rsidP="0042202B">
            <w:pPr>
              <w:rPr>
                <w:b/>
              </w:rPr>
            </w:pPr>
          </w:p>
          <w:p w14:paraId="76B0099E" w14:textId="4BE1011F" w:rsidR="00E64CC3" w:rsidRDefault="00E64CC3" w:rsidP="0042202B">
            <w:pPr>
              <w:rPr>
                <w:b/>
              </w:rPr>
            </w:pPr>
            <w:r w:rsidRPr="00E64CC3">
              <w:rPr>
                <w:b/>
                <w:color w:val="0070C0"/>
              </w:rPr>
              <w:t xml:space="preserve">Zmiany wypracowane z COI – art. 68zy. </w:t>
            </w:r>
          </w:p>
        </w:tc>
      </w:tr>
      <w:tr w:rsidR="000E76C9" w:rsidRPr="00647292" w14:paraId="2EFB513C" w14:textId="77777777" w:rsidTr="000E423B">
        <w:tc>
          <w:tcPr>
            <w:tcW w:w="562" w:type="dxa"/>
          </w:tcPr>
          <w:p w14:paraId="1219B9D9" w14:textId="7FAC0FA9" w:rsidR="000E76C9" w:rsidRPr="00647292" w:rsidRDefault="000E76C9" w:rsidP="000E76C9">
            <w:pPr>
              <w:rPr>
                <w:b/>
                <w:color w:val="0070C0"/>
              </w:rPr>
            </w:pPr>
            <w:r w:rsidRPr="00647292">
              <w:rPr>
                <w:b/>
                <w:color w:val="0070C0"/>
              </w:rPr>
              <w:t>134</w:t>
            </w:r>
          </w:p>
        </w:tc>
        <w:tc>
          <w:tcPr>
            <w:tcW w:w="2694" w:type="dxa"/>
            <w:gridSpan w:val="2"/>
          </w:tcPr>
          <w:p w14:paraId="7FFB680F" w14:textId="6A1FB935" w:rsidR="000E76C9" w:rsidRPr="00647292" w:rsidRDefault="000E76C9" w:rsidP="000E76C9">
            <w:pPr>
              <w:rPr>
                <w:b/>
                <w:color w:val="0070C0"/>
              </w:rPr>
            </w:pPr>
            <w:r w:rsidRPr="00647292">
              <w:rPr>
                <w:rFonts w:cstheme="minorHAnsi"/>
                <w:b/>
                <w:color w:val="0070C0"/>
              </w:rPr>
              <w:t>MFiG</w:t>
            </w:r>
            <w:r w:rsidR="00FF4A53" w:rsidRPr="00647292">
              <w:rPr>
                <w:rFonts w:cstheme="minorHAnsi"/>
                <w:b/>
                <w:color w:val="0070C0"/>
                <w:vertAlign w:val="superscript"/>
              </w:rPr>
              <w:t>*)</w:t>
            </w:r>
          </w:p>
        </w:tc>
        <w:tc>
          <w:tcPr>
            <w:tcW w:w="5953" w:type="dxa"/>
          </w:tcPr>
          <w:p w14:paraId="6AD40A6C" w14:textId="1CE70538" w:rsidR="000E76C9" w:rsidRPr="00647292" w:rsidRDefault="00FF4A53" w:rsidP="000E76C9">
            <w:pPr>
              <w:rPr>
                <w:b/>
                <w:color w:val="0070C0"/>
              </w:rPr>
            </w:pPr>
            <w:r w:rsidRPr="00647292">
              <w:rPr>
                <w:rFonts w:cstheme="minorHAnsi"/>
                <w:b/>
                <w:color w:val="0070C0"/>
              </w:rPr>
              <w:t xml:space="preserve">Przykładowo </w:t>
            </w:r>
            <w:r w:rsidR="0083204C" w:rsidRPr="00647292">
              <w:rPr>
                <w:rFonts w:cstheme="minorHAnsi"/>
                <w:b/>
                <w:color w:val="0070C0"/>
              </w:rPr>
              <w:t>a</w:t>
            </w:r>
            <w:r w:rsidRPr="00647292">
              <w:rPr>
                <w:rFonts w:cstheme="minorHAnsi"/>
                <w:b/>
                <w:color w:val="0070C0"/>
              </w:rPr>
              <w:t>rt. 15 ust.</w:t>
            </w:r>
            <w:r w:rsidRPr="00647292">
              <w:rPr>
                <w:b/>
                <w:color w:val="0070C0"/>
              </w:rPr>
              <w:t xml:space="preserve"> 1</w:t>
            </w:r>
          </w:p>
        </w:tc>
        <w:tc>
          <w:tcPr>
            <w:tcW w:w="3827" w:type="dxa"/>
          </w:tcPr>
          <w:p w14:paraId="518EB625" w14:textId="585D2ED3" w:rsidR="00B84394" w:rsidRPr="00647292" w:rsidRDefault="00B84394" w:rsidP="00B84394">
            <w:pPr>
              <w:tabs>
                <w:tab w:val="left" w:pos="709"/>
              </w:tabs>
              <w:autoSpaceDE w:val="0"/>
              <w:autoSpaceDN w:val="0"/>
              <w:spacing w:before="120" w:after="120"/>
              <w:rPr>
                <w:rFonts w:cstheme="minorHAnsi"/>
                <w:b/>
                <w:color w:val="0070C0"/>
                <w:lang w:eastAsia="pl-PL"/>
              </w:rPr>
            </w:pPr>
            <w:r w:rsidRPr="00647292">
              <w:rPr>
                <w:rFonts w:cstheme="minorHAnsi"/>
                <w:b/>
                <w:color w:val="0070C0"/>
              </w:rPr>
              <w:t xml:space="preserve">Przedstawiona wersja projektu w wielu przepisach przewiduje obowiązek dołączania do wniosku o podjęcie określonych działań przez Dyrektora Transportowego Dozoru Technicznego (Dyrektor TDT) potwierdzenia wniesienia opłaty przewidzianej za złożenie takiego wniosku. Projektowane przepisy nie określają jednak konsekwencji niedołączenia takiego dokumentu do składanego wniosku, regulacje projektu nie przewidują również odpowiedniego stosowania w tym zakresie art. 68 </w:t>
            </w:r>
            <w:bookmarkStart w:id="74" w:name="_Hlk232154806"/>
            <w:r w:rsidRPr="00647292">
              <w:rPr>
                <w:rFonts w:cstheme="minorHAnsi"/>
                <w:b/>
                <w:color w:val="0070C0"/>
              </w:rPr>
              <w:t>§</w:t>
            </w:r>
            <w:bookmarkEnd w:id="74"/>
            <w:r w:rsidRPr="00647292">
              <w:rPr>
                <w:rFonts w:cstheme="minorHAnsi"/>
                <w:b/>
                <w:color w:val="0070C0"/>
              </w:rPr>
              <w:t xml:space="preserve"> 2 ustawy – Kodeks postępowania administracyjnego (dalej KPA</w:t>
            </w:r>
            <w:r w:rsidR="00647292" w:rsidRPr="00647292">
              <w:rPr>
                <w:rFonts w:cstheme="minorHAnsi"/>
                <w:b/>
                <w:color w:val="0070C0"/>
              </w:rPr>
              <w:t>)</w:t>
            </w:r>
            <w:r w:rsidRPr="00647292">
              <w:rPr>
                <w:rFonts w:cstheme="minorHAnsi"/>
                <w:b/>
                <w:color w:val="0070C0"/>
              </w:rPr>
              <w:t>, zgodnie z którym podanie niespełniające wymagań określonych przepisami prawa pozostawia się bez rozpoznania. Należy wskazać, że obowiązujące przepisy ustawy o systemach homologacji pojazdów oraz ich wyposażenia (dalej ustawa o.s.h.p) również nie nakazują stosowania przepisów KPA. Należałoby rozważyć wprowadzenie przepisów, które uzależniają podjęcie działań przez Dyrektora TDT od wniesienia tych opłat, tak aby nie było konieczności ich przymusowego dochodzenia, w przypadku gdy opłata nie zostanie wniesiona.</w:t>
            </w:r>
          </w:p>
          <w:p w14:paraId="63A0BE8E" w14:textId="77777777" w:rsidR="000E76C9" w:rsidRPr="00647292" w:rsidRDefault="000E76C9" w:rsidP="000E76C9">
            <w:pPr>
              <w:rPr>
                <w:b/>
                <w:color w:val="0070C0"/>
              </w:rPr>
            </w:pPr>
          </w:p>
        </w:tc>
        <w:tc>
          <w:tcPr>
            <w:tcW w:w="3686" w:type="dxa"/>
          </w:tcPr>
          <w:p w14:paraId="1AF34630" w14:textId="77777777" w:rsidR="00B84394" w:rsidRPr="00647292" w:rsidRDefault="00B84394" w:rsidP="00B84394">
            <w:pPr>
              <w:pStyle w:val="ZUSTzmustartykuempunktem"/>
              <w:tabs>
                <w:tab w:val="left" w:pos="709"/>
              </w:tabs>
              <w:spacing w:before="120" w:after="120" w:line="240" w:lineRule="auto"/>
              <w:ind w:left="0" w:firstLine="0"/>
              <w:jc w:val="left"/>
              <w:rPr>
                <w:rFonts w:asciiTheme="minorHAnsi" w:hAnsiTheme="minorHAnsi" w:cstheme="minorHAnsi"/>
                <w:b/>
                <w:color w:val="0070C0"/>
                <w:sz w:val="22"/>
                <w:szCs w:val="22"/>
                <w:u w:val="single"/>
              </w:rPr>
            </w:pPr>
            <w:r w:rsidRPr="00647292">
              <w:rPr>
                <w:rFonts w:asciiTheme="minorHAnsi" w:hAnsiTheme="minorHAnsi" w:cstheme="minorHAnsi"/>
                <w:b/>
                <w:color w:val="0070C0"/>
                <w:sz w:val="22"/>
                <w:szCs w:val="22"/>
                <w:u w:val="single"/>
              </w:rPr>
              <w:t xml:space="preserve">Należy zauważyć, iż art. 15 ust. 2 ustawy homologacyjnej wskazuje, iż wydanie albo zmiana odpowiednich świadectw homologacji następuje w drodze decyzji administracyjnej Dyrektora TDT, zatem zastosowanie w prowadzonych postępowaniach ma ustawa – Kodeks postępowania administracyjnego (zwana dalej: kpa), w tym również art. 68 § 2 kpa na etapie sprawdzania kompletności załączonych dokumentów. </w:t>
            </w:r>
          </w:p>
          <w:p w14:paraId="28BB2807" w14:textId="77777777" w:rsidR="000E76C9" w:rsidRPr="00647292" w:rsidRDefault="000E76C9" w:rsidP="000E76C9">
            <w:pPr>
              <w:rPr>
                <w:b/>
                <w:color w:val="0070C0"/>
              </w:rPr>
            </w:pPr>
          </w:p>
        </w:tc>
      </w:tr>
      <w:tr w:rsidR="00647292" w:rsidRPr="00647292" w14:paraId="767273BB" w14:textId="77777777" w:rsidTr="000E423B">
        <w:tc>
          <w:tcPr>
            <w:tcW w:w="562" w:type="dxa"/>
          </w:tcPr>
          <w:p w14:paraId="7A684994" w14:textId="4579831E" w:rsidR="000E76C9" w:rsidRPr="00647292" w:rsidRDefault="000E76C9" w:rsidP="000E76C9">
            <w:pPr>
              <w:rPr>
                <w:b/>
                <w:color w:val="0070C0"/>
              </w:rPr>
            </w:pPr>
            <w:r w:rsidRPr="00647292">
              <w:rPr>
                <w:b/>
                <w:color w:val="0070C0"/>
              </w:rPr>
              <w:t>135</w:t>
            </w:r>
          </w:p>
        </w:tc>
        <w:tc>
          <w:tcPr>
            <w:tcW w:w="2694" w:type="dxa"/>
            <w:gridSpan w:val="2"/>
          </w:tcPr>
          <w:p w14:paraId="0DDBAA5B" w14:textId="42F65CF0" w:rsidR="000E76C9" w:rsidRPr="00647292" w:rsidRDefault="00647292" w:rsidP="000E76C9">
            <w:pPr>
              <w:rPr>
                <w:b/>
                <w:color w:val="0070C0"/>
              </w:rPr>
            </w:pPr>
            <w:r w:rsidRPr="00647292">
              <w:rPr>
                <w:rFonts w:cstheme="minorHAnsi"/>
                <w:b/>
                <w:color w:val="0070C0"/>
              </w:rPr>
              <w:t>MFiG</w:t>
            </w:r>
            <w:r w:rsidRPr="00647292">
              <w:rPr>
                <w:rFonts w:cstheme="minorHAnsi"/>
                <w:b/>
                <w:color w:val="0070C0"/>
                <w:vertAlign w:val="superscript"/>
              </w:rPr>
              <w:t>*)</w:t>
            </w:r>
          </w:p>
        </w:tc>
        <w:tc>
          <w:tcPr>
            <w:tcW w:w="5953" w:type="dxa"/>
          </w:tcPr>
          <w:p w14:paraId="3F2314A3" w14:textId="345CE5DE" w:rsidR="000E76C9" w:rsidRPr="00647292" w:rsidRDefault="00647292" w:rsidP="000E76C9">
            <w:pPr>
              <w:rPr>
                <w:b/>
                <w:color w:val="0070C0"/>
              </w:rPr>
            </w:pPr>
            <w:r w:rsidRPr="00647292">
              <w:rPr>
                <w:b/>
                <w:color w:val="0070C0"/>
              </w:rPr>
              <w:t xml:space="preserve">Art. 68zx </w:t>
            </w:r>
          </w:p>
        </w:tc>
        <w:tc>
          <w:tcPr>
            <w:tcW w:w="3827" w:type="dxa"/>
          </w:tcPr>
          <w:p w14:paraId="76457B85" w14:textId="77777777" w:rsidR="00B84394"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W art. 68 zx  projektu ustawy o.s.h.p. (były art. 68 zl) występuje określenie „pojazdy”. Wobec braku definicji legalnej „pojazdu” w przedmiotowej ustawie, należy wyraźnie wskazać co jest rozumiane pod tym pojęciem. Szef KAS, który będzie przekazywał informacje wskazane w art. 68zx ust. 2 musi mieć jasność co do tego, które konkretnie pojazdy uwzględnić w przedkładanych danych.</w:t>
            </w:r>
          </w:p>
          <w:p w14:paraId="3FDB982B" w14:textId="77777777" w:rsidR="000E76C9" w:rsidRPr="00647292" w:rsidRDefault="000E76C9" w:rsidP="000E76C9">
            <w:pPr>
              <w:rPr>
                <w:b/>
                <w:color w:val="0070C0"/>
              </w:rPr>
            </w:pPr>
          </w:p>
        </w:tc>
        <w:tc>
          <w:tcPr>
            <w:tcW w:w="3686" w:type="dxa"/>
          </w:tcPr>
          <w:p w14:paraId="66697320" w14:textId="4A2CDD05" w:rsidR="000E76C9" w:rsidRPr="00647292" w:rsidRDefault="00B84394" w:rsidP="00B84394">
            <w:pPr>
              <w:tabs>
                <w:tab w:val="left" w:pos="709"/>
              </w:tabs>
              <w:autoSpaceDE w:val="0"/>
              <w:autoSpaceDN w:val="0"/>
              <w:spacing w:before="120" w:after="120"/>
              <w:rPr>
                <w:rFonts w:cstheme="minorHAnsi"/>
                <w:b/>
                <w:color w:val="0070C0"/>
              </w:rPr>
            </w:pPr>
            <w:bookmarkStart w:id="75" w:name="_Hlk233105435"/>
            <w:r w:rsidRPr="00647292">
              <w:rPr>
                <w:rFonts w:cstheme="minorHAnsi"/>
                <w:b/>
                <w:color w:val="0070C0"/>
                <w:u w:val="single"/>
              </w:rPr>
              <w:t>Pojęcie „pojazdy” w art. 68zx należy rozumieć zgodnie z zakresem stosowania ustawy określonym w art. 1 ust. 3 zawierającym odesłanie do art. 2 pkt 31 ustawy – Prawo o ruchu drogowym, które obejmuje pojazdy podlegające regulacjom homologacyjnym wynikającym z rozporządzeń (UE) 2018/858, 168/2013, 167/2013 oraz właściwych regulaminów ONZ. Projektowana zmiana art. 1 ust. 3 rozszerza ten zakres również na rowery, wózki rowerowe, hulajnogi elektryczne i urządzenia transportu osobistego. Art. 68zx ma zastosowanie zarówno do realizacji zadań określonych w art. 68u, jak i art. 68zw, w związku z przeprowadzaniem okresowej analizy prawdopodobieństwa naruszenia przepisów, o której mowa w art. 47 ust. 1 ustawy z dnia 6 marca 2018 r. – Prawo przedsiębiorców oraz weryfikacji obowiązków związanych z wprowadzaniem pojazdów do obrotu. Wprowadzenie odrębnej definicji „pojazdu” w art. 68zx nie jest konieczne, ponieważ zakres ten wynika wprost z art. 1 ust. 3 ustawy homologacyjnej.</w:t>
            </w:r>
            <w:bookmarkEnd w:id="75"/>
          </w:p>
        </w:tc>
      </w:tr>
      <w:tr w:rsidR="00647292" w:rsidRPr="00647292" w14:paraId="0C70F639" w14:textId="77777777" w:rsidTr="00647292">
        <w:trPr>
          <w:trHeight w:val="3116"/>
        </w:trPr>
        <w:tc>
          <w:tcPr>
            <w:tcW w:w="562" w:type="dxa"/>
          </w:tcPr>
          <w:p w14:paraId="1FCEB65C" w14:textId="1F8A047D" w:rsidR="000E76C9" w:rsidRPr="00647292" w:rsidRDefault="000E76C9" w:rsidP="000E76C9">
            <w:pPr>
              <w:rPr>
                <w:b/>
                <w:color w:val="0070C0"/>
              </w:rPr>
            </w:pPr>
            <w:r w:rsidRPr="00647292">
              <w:rPr>
                <w:b/>
                <w:color w:val="0070C0"/>
              </w:rPr>
              <w:t>136</w:t>
            </w:r>
          </w:p>
        </w:tc>
        <w:tc>
          <w:tcPr>
            <w:tcW w:w="2694" w:type="dxa"/>
            <w:gridSpan w:val="2"/>
          </w:tcPr>
          <w:p w14:paraId="5836B0C7" w14:textId="5754C739"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45289577" w14:textId="6128C74F" w:rsidR="000E76C9" w:rsidRPr="00647292" w:rsidRDefault="00647292" w:rsidP="000E76C9">
            <w:pPr>
              <w:rPr>
                <w:b/>
                <w:color w:val="0070C0"/>
              </w:rPr>
            </w:pPr>
            <w:r w:rsidRPr="00647292">
              <w:rPr>
                <w:b/>
                <w:color w:val="0070C0"/>
              </w:rPr>
              <w:t>Art. 68zp ust. 3 i 5</w:t>
            </w:r>
          </w:p>
        </w:tc>
        <w:tc>
          <w:tcPr>
            <w:tcW w:w="3827" w:type="dxa"/>
          </w:tcPr>
          <w:p w14:paraId="40FAC189" w14:textId="31632D65" w:rsidR="000E76C9"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Zweryfikowania wymaga brzmienie art. 68zp ust. 3 i 5 ustawy o.s.h.p. Przepis ten dotyczy decyzji o zwrocie opłaty za pojazd bądź element wyposażenia nabytych w ramach zakupu kontrolnego. Wydaje się, że przepis dotyczy zwrotu zapłaty za określony przedmiot, a nie opłaty. Brak uzasadnienia uniemożliwia jednak weryfikację intencji projektodawcy.</w:t>
            </w:r>
          </w:p>
        </w:tc>
        <w:tc>
          <w:tcPr>
            <w:tcW w:w="3686" w:type="dxa"/>
          </w:tcPr>
          <w:p w14:paraId="6EDF6D4C" w14:textId="3627D6AB" w:rsidR="000E76C9" w:rsidRPr="00647292" w:rsidRDefault="00B84394" w:rsidP="00B84394">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Poprawiono zgodnie z uwagą. </w:t>
            </w:r>
          </w:p>
        </w:tc>
      </w:tr>
      <w:tr w:rsidR="000E76C9" w:rsidRPr="00647292" w14:paraId="4198EDF3" w14:textId="77777777" w:rsidTr="000E423B">
        <w:tc>
          <w:tcPr>
            <w:tcW w:w="562" w:type="dxa"/>
          </w:tcPr>
          <w:p w14:paraId="64A294B0" w14:textId="626EEB73" w:rsidR="000E76C9" w:rsidRPr="00647292" w:rsidRDefault="000E76C9" w:rsidP="000E76C9">
            <w:pPr>
              <w:rPr>
                <w:b/>
                <w:color w:val="0070C0"/>
              </w:rPr>
            </w:pPr>
            <w:r w:rsidRPr="00647292">
              <w:rPr>
                <w:b/>
                <w:color w:val="0070C0"/>
              </w:rPr>
              <w:t>137</w:t>
            </w:r>
          </w:p>
        </w:tc>
        <w:tc>
          <w:tcPr>
            <w:tcW w:w="2694" w:type="dxa"/>
            <w:gridSpan w:val="2"/>
          </w:tcPr>
          <w:p w14:paraId="4C2F15AE" w14:textId="7EC339C7"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455F83B6" w14:textId="42E66796" w:rsidR="000E76C9" w:rsidRPr="00647292" w:rsidRDefault="00647292" w:rsidP="000E76C9">
            <w:pPr>
              <w:rPr>
                <w:b/>
                <w:color w:val="0070C0"/>
              </w:rPr>
            </w:pPr>
            <w:r w:rsidRPr="00647292">
              <w:rPr>
                <w:b/>
                <w:color w:val="0070C0"/>
              </w:rPr>
              <w:t xml:space="preserve">Art. 68v ust. 3 pkt 10 </w:t>
            </w:r>
          </w:p>
        </w:tc>
        <w:tc>
          <w:tcPr>
            <w:tcW w:w="3827" w:type="dxa"/>
          </w:tcPr>
          <w:p w14:paraId="7C4CAC3D" w14:textId="44D15C46" w:rsidR="000E76C9"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Szczegółowej analizy wymaga projektowany art. 68v ust. 3 pkt 10 ustawy o.s.h.p. wskazujący administratorów danych udostępnianych Dyrektorowi TDT. Należy zauważyć, że to przepisy odrębne regulują kwestie organu, który jest administratorem danych ujętych w określonym zbiorze/rejestrze. Brak uzasadnienia do projektu uniemożliwia ocenę celowości zawarcia ww. przepisu w projektowanej ustawie.</w:t>
            </w:r>
          </w:p>
        </w:tc>
        <w:tc>
          <w:tcPr>
            <w:tcW w:w="3686" w:type="dxa"/>
          </w:tcPr>
          <w:p w14:paraId="655DB220" w14:textId="77777777" w:rsidR="00B84394" w:rsidRPr="00647292" w:rsidRDefault="00B84394" w:rsidP="00B84394">
            <w:pPr>
              <w:pStyle w:val="ZARTzmartartykuempunktem"/>
              <w:tabs>
                <w:tab w:val="left" w:pos="709"/>
              </w:tabs>
              <w:spacing w:before="120" w:after="120" w:line="240" w:lineRule="auto"/>
              <w:ind w:left="0" w:firstLine="0"/>
              <w:jc w:val="left"/>
              <w:rPr>
                <w:rFonts w:asciiTheme="minorHAnsi" w:hAnsiTheme="minorHAnsi" w:cstheme="minorHAnsi"/>
                <w:b/>
                <w:color w:val="0070C0"/>
                <w:sz w:val="22"/>
                <w:szCs w:val="22"/>
                <w:u w:val="single"/>
              </w:rPr>
            </w:pPr>
            <w:r w:rsidRPr="00647292">
              <w:rPr>
                <w:rFonts w:asciiTheme="minorHAnsi" w:hAnsiTheme="minorHAnsi" w:cstheme="minorHAnsi"/>
                <w:b/>
                <w:color w:val="0070C0"/>
                <w:sz w:val="22"/>
                <w:szCs w:val="22"/>
                <w:u w:val="single"/>
              </w:rPr>
              <w:t xml:space="preserve">W uzasadnieniu zawarto informacje w tym zakresie – przepis wypracowany na podstawie stanowiska Prezesa UODO, z akceptacją Ministerstwa Cyfryzacji i Ministerstwa Spraw Zagranicznych. </w:t>
            </w:r>
          </w:p>
          <w:p w14:paraId="2478992C" w14:textId="77777777" w:rsidR="000E76C9" w:rsidRPr="00647292" w:rsidRDefault="000E76C9" w:rsidP="000E76C9">
            <w:pPr>
              <w:rPr>
                <w:b/>
                <w:color w:val="0070C0"/>
              </w:rPr>
            </w:pPr>
          </w:p>
        </w:tc>
      </w:tr>
      <w:tr w:rsidR="00647292" w:rsidRPr="00647292" w14:paraId="7A05EF91" w14:textId="77777777" w:rsidTr="000E423B">
        <w:tc>
          <w:tcPr>
            <w:tcW w:w="562" w:type="dxa"/>
          </w:tcPr>
          <w:p w14:paraId="22ED4943" w14:textId="719409E9" w:rsidR="000E76C9" w:rsidRPr="00647292" w:rsidRDefault="000E76C9" w:rsidP="000E76C9">
            <w:pPr>
              <w:rPr>
                <w:b/>
                <w:color w:val="0070C0"/>
              </w:rPr>
            </w:pPr>
            <w:r w:rsidRPr="00647292">
              <w:rPr>
                <w:b/>
                <w:color w:val="0070C0"/>
              </w:rPr>
              <w:t>138</w:t>
            </w:r>
          </w:p>
        </w:tc>
        <w:tc>
          <w:tcPr>
            <w:tcW w:w="2694" w:type="dxa"/>
            <w:gridSpan w:val="2"/>
          </w:tcPr>
          <w:p w14:paraId="04205BD8" w14:textId="1C20C2EE"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68703267" w14:textId="569E70DD" w:rsidR="000E76C9" w:rsidRPr="00647292" w:rsidRDefault="00647292" w:rsidP="000E76C9">
            <w:pPr>
              <w:rPr>
                <w:b/>
                <w:color w:val="0070C0"/>
              </w:rPr>
            </w:pPr>
            <w:r w:rsidRPr="00647292">
              <w:rPr>
                <w:b/>
                <w:color w:val="0070C0"/>
              </w:rPr>
              <w:t>Nazewnictwo w ustawie w zakresie pojęcia „faktura”</w:t>
            </w:r>
          </w:p>
        </w:tc>
        <w:tc>
          <w:tcPr>
            <w:tcW w:w="3827" w:type="dxa"/>
          </w:tcPr>
          <w:p w14:paraId="2507C3F4" w14:textId="77777777" w:rsidR="00B84394"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 xml:space="preserve">W odniesieniu do  projektowanych art. 68zu, art. 68zw, art. 69, art. 71, art. 71b, art. 71f ustawy o.s.h.p. proponuję aby w art. 68zu ust. 5 zamiast sformułowania „faktura VAT” użyć „faktura o której mowa w ustawie z dnia 11 marca 2004 r. o dodatku od towarów i usług (Dz. U. z 2025 r. poz. 775, z późn. zm.)”. Proponuję także ujednolicenie stosowanego nazewnictwa, w tym zakresie w całej ustawie. </w:t>
            </w:r>
          </w:p>
          <w:p w14:paraId="7849E721" w14:textId="77777777" w:rsidR="00B84394" w:rsidRPr="00647292" w:rsidRDefault="00B84394" w:rsidP="00B84394">
            <w:pPr>
              <w:pStyle w:val="Akapitzlist"/>
              <w:tabs>
                <w:tab w:val="left" w:pos="709"/>
              </w:tabs>
              <w:autoSpaceDE w:val="0"/>
              <w:autoSpaceDN w:val="0"/>
              <w:spacing w:before="120" w:after="120" w:line="240" w:lineRule="auto"/>
              <w:ind w:left="142"/>
              <w:rPr>
                <w:rFonts w:cstheme="minorHAnsi"/>
                <w:b/>
                <w:color w:val="0070C0"/>
                <w:sz w:val="22"/>
                <w:szCs w:val="22"/>
              </w:rPr>
            </w:pPr>
            <w:r w:rsidRPr="00647292">
              <w:rPr>
                <w:rFonts w:cstheme="minorHAnsi"/>
                <w:b/>
                <w:color w:val="0070C0"/>
                <w:sz w:val="22"/>
                <w:szCs w:val="22"/>
              </w:rPr>
              <w:t>Wyrażenie „faktura VAT” nie jest pojęciem używanym w ww. ustawie o podatku od towarów i usług. Co do zasady ustawa ta posługuje się ogólnym pojęciem faktury, której definicja zawarta jest w art. 2 pkt 31(zob. art. 106b), a tam gdzie to konieczne, odnosi się do konkretnej postaci faktury, np. faktury ustrukturyzowanej lub faktury w postaci elektronicznej (zdefiniowanych  art. 2 pkt 32 i 32a ustawy).</w:t>
            </w:r>
          </w:p>
          <w:p w14:paraId="334A7774" w14:textId="3566E00C" w:rsidR="000E76C9" w:rsidRPr="00647292" w:rsidRDefault="00B84394" w:rsidP="00647292">
            <w:pPr>
              <w:pStyle w:val="Akapitzlist"/>
              <w:tabs>
                <w:tab w:val="left" w:pos="709"/>
              </w:tabs>
              <w:autoSpaceDE w:val="0"/>
              <w:autoSpaceDN w:val="0"/>
              <w:spacing w:before="120" w:after="120" w:line="240" w:lineRule="auto"/>
              <w:ind w:left="142"/>
              <w:rPr>
                <w:rFonts w:cstheme="minorHAnsi"/>
                <w:b/>
                <w:color w:val="0070C0"/>
                <w:sz w:val="22"/>
                <w:szCs w:val="22"/>
                <w:highlight w:val="yellow"/>
              </w:rPr>
            </w:pPr>
            <w:r w:rsidRPr="00647292">
              <w:rPr>
                <w:rFonts w:cstheme="minorHAnsi"/>
                <w:b/>
                <w:color w:val="0070C0"/>
                <w:sz w:val="22"/>
                <w:szCs w:val="22"/>
              </w:rPr>
              <w:t>Jednocześnie, w związku z użytym w projektowanych przepisach ustawy o.s.h.p. sformułowaniem „użytkownik końcowy z faktur VAT”, wskazać należy, że jednym z elementów faktury są dane dotyczące nabywcy towarów lub usług (imiona i nazwiska lub nazwa oraz adres). W tym kontekście mogą powstać wątpliwości co do tożsamości tych pojęć – użytkownik końcowy nie musi oznaczać nabywcy</w:t>
            </w:r>
            <w:r w:rsidR="00647292" w:rsidRPr="00647292">
              <w:rPr>
                <w:rFonts w:cstheme="minorHAnsi"/>
                <w:b/>
                <w:color w:val="0070C0"/>
                <w:sz w:val="22"/>
                <w:szCs w:val="22"/>
              </w:rPr>
              <w:t>.</w:t>
            </w:r>
          </w:p>
        </w:tc>
        <w:tc>
          <w:tcPr>
            <w:tcW w:w="3686" w:type="dxa"/>
          </w:tcPr>
          <w:p w14:paraId="1909B8ED"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Poprawiono zgodnie z uwagą – dodano nowy pkt 46 w art. 2 wprowadzające definicję faktury i w całej ustawie użyto słowo „faktura”, bez określenia VAT.  </w:t>
            </w:r>
          </w:p>
          <w:p w14:paraId="250812CC"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Należy zauważyć, iż definicja użytkownika końcowego znajduje się w art. 3 pkt 21 rozporządzenia 2019/1020 – została ona ujęta w zmianie art. 2 ustawy homologacyjnej – nowy pkt 42.</w:t>
            </w:r>
          </w:p>
          <w:p w14:paraId="4AD57568" w14:textId="77777777" w:rsidR="000E76C9" w:rsidRPr="00647292" w:rsidRDefault="000E76C9" w:rsidP="000E76C9">
            <w:pPr>
              <w:rPr>
                <w:b/>
                <w:color w:val="0070C0"/>
              </w:rPr>
            </w:pPr>
          </w:p>
        </w:tc>
      </w:tr>
      <w:tr w:rsidR="00647292" w:rsidRPr="00647292" w14:paraId="6564157B" w14:textId="77777777" w:rsidTr="000E423B">
        <w:tc>
          <w:tcPr>
            <w:tcW w:w="562" w:type="dxa"/>
          </w:tcPr>
          <w:p w14:paraId="50C4973E" w14:textId="26A978FE" w:rsidR="000E76C9" w:rsidRPr="00647292" w:rsidRDefault="000E76C9" w:rsidP="000E76C9">
            <w:pPr>
              <w:rPr>
                <w:b/>
                <w:color w:val="0070C0"/>
              </w:rPr>
            </w:pPr>
            <w:r w:rsidRPr="00647292">
              <w:rPr>
                <w:b/>
                <w:color w:val="0070C0"/>
              </w:rPr>
              <w:t>139</w:t>
            </w:r>
          </w:p>
        </w:tc>
        <w:tc>
          <w:tcPr>
            <w:tcW w:w="2694" w:type="dxa"/>
            <w:gridSpan w:val="2"/>
          </w:tcPr>
          <w:p w14:paraId="20EB123F" w14:textId="46ADECB9"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7527C3DD" w14:textId="2919A6E1" w:rsidR="000E76C9" w:rsidRPr="00647292" w:rsidRDefault="00647292" w:rsidP="000E76C9">
            <w:pPr>
              <w:rPr>
                <w:b/>
                <w:color w:val="0070C0"/>
              </w:rPr>
            </w:pPr>
            <w:r w:rsidRPr="00647292">
              <w:rPr>
                <w:b/>
                <w:color w:val="0070C0"/>
              </w:rPr>
              <w:t xml:space="preserve">Art. 68zs ust. 11 </w:t>
            </w:r>
          </w:p>
        </w:tc>
        <w:tc>
          <w:tcPr>
            <w:tcW w:w="3827" w:type="dxa"/>
          </w:tcPr>
          <w:p w14:paraId="3B115794" w14:textId="77777777" w:rsidR="00B84394"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 xml:space="preserve">Projektowany art. 71s ust. 1 ustawy o.s.h.p. przewiduje stosowanie egzekucji administracyjnej do określonych opłat przewidzianych w przepisach zmienianej ustawy. Jednakże w art. 68zd ust. 11 i art. 68ze ust. 10 mowa jest o kosztach odpowiednio udzielania pomocy przez komendanta Policji oraz kosztach badań próbki kontrolnej. W związku z tym dla uniknięcia wątpliwości interpretacyjnych należy wskazać, że przepisy ustawy o postępowaniu egzekucyjnym stosuje się nie do opłat, ale do kosztów, o których mowa w art. 68zd ust. 11 i art. 68ze ust. 10. </w:t>
            </w:r>
          </w:p>
          <w:p w14:paraId="23599113" w14:textId="77777777" w:rsidR="00B84394" w:rsidRPr="00647292" w:rsidRDefault="00B84394" w:rsidP="00FF4A53">
            <w:pPr>
              <w:tabs>
                <w:tab w:val="left" w:pos="709"/>
              </w:tabs>
              <w:autoSpaceDE w:val="0"/>
              <w:autoSpaceDN w:val="0"/>
              <w:spacing w:before="120" w:after="120"/>
              <w:rPr>
                <w:rFonts w:cstheme="minorHAnsi"/>
                <w:b/>
                <w:color w:val="0070C0"/>
              </w:rPr>
            </w:pPr>
            <w:r w:rsidRPr="00647292">
              <w:rPr>
                <w:rFonts w:cstheme="minorHAnsi"/>
                <w:b/>
                <w:color w:val="0070C0"/>
              </w:rPr>
              <w:t xml:space="preserve">Natomiast w zakresie art. 68zs należałoby odesłać do ust. 11 a nie 12. </w:t>
            </w:r>
          </w:p>
          <w:p w14:paraId="3E1F443E" w14:textId="77777777" w:rsidR="00B84394" w:rsidRPr="00647292" w:rsidRDefault="00B84394" w:rsidP="00FF4A53">
            <w:pPr>
              <w:tabs>
                <w:tab w:val="left" w:pos="709"/>
              </w:tabs>
              <w:autoSpaceDE w:val="0"/>
              <w:autoSpaceDN w:val="0"/>
              <w:spacing w:before="120" w:after="120"/>
              <w:rPr>
                <w:rFonts w:cstheme="minorHAnsi"/>
                <w:b/>
                <w:color w:val="0070C0"/>
              </w:rPr>
            </w:pPr>
            <w:r w:rsidRPr="00647292">
              <w:rPr>
                <w:rFonts w:cstheme="minorHAnsi"/>
                <w:b/>
                <w:color w:val="0070C0"/>
              </w:rPr>
              <w:t>Ponadto art. 71s ust. 1 wydaje się niekompletny – np. nie dotyczy opłaty określonej w art. 68zr ust 11. Nie art. 68zr a art. 68zs ust. 11</w:t>
            </w:r>
          </w:p>
          <w:p w14:paraId="1191F258" w14:textId="77777777" w:rsidR="000E76C9" w:rsidRPr="00647292" w:rsidRDefault="000E76C9" w:rsidP="000E76C9">
            <w:pPr>
              <w:rPr>
                <w:b/>
                <w:color w:val="0070C0"/>
              </w:rPr>
            </w:pPr>
          </w:p>
        </w:tc>
        <w:tc>
          <w:tcPr>
            <w:tcW w:w="3686" w:type="dxa"/>
          </w:tcPr>
          <w:p w14:paraId="1DA22A65"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Art. 68zs ust. 11 nie został ujęty w przepisach o egzekucji, gdyż założeniem projektu jest, aby w tym zakresie zniszczenia pojazdu dokonał Dyrektor TDT, a nie organ egzekucyjny – wojewoda. Stąd też uzupełnienie art. 68zr ust. 10:</w:t>
            </w:r>
          </w:p>
          <w:p w14:paraId="7141353D" w14:textId="77777777" w:rsidR="00B84394" w:rsidRPr="00647292" w:rsidRDefault="00B84394" w:rsidP="00FF4A53">
            <w:pPr>
              <w:pStyle w:val="ZUSTzmustartykuempunktem"/>
              <w:tabs>
                <w:tab w:val="left" w:pos="709"/>
              </w:tabs>
              <w:spacing w:before="120" w:after="120" w:line="240" w:lineRule="auto"/>
              <w:ind w:left="0" w:firstLine="0"/>
              <w:jc w:val="left"/>
              <w:rPr>
                <w:rFonts w:asciiTheme="minorHAnsi" w:hAnsiTheme="minorHAnsi" w:cstheme="minorHAnsi"/>
                <w:b/>
                <w:i/>
                <w:iCs/>
                <w:color w:val="0070C0"/>
                <w:sz w:val="22"/>
                <w:szCs w:val="22"/>
              </w:rPr>
            </w:pPr>
            <w:bookmarkStart w:id="76" w:name="_Hlk232583003"/>
            <w:r w:rsidRPr="00647292">
              <w:rPr>
                <w:rFonts w:asciiTheme="minorHAnsi" w:hAnsiTheme="minorHAnsi" w:cstheme="minorHAnsi"/>
                <w:b/>
                <w:i/>
                <w:iCs/>
                <w:color w:val="0070C0"/>
                <w:sz w:val="22"/>
                <w:szCs w:val="22"/>
              </w:rPr>
              <w:t>„10. W przypadku gdy podmiot gospodarczy nie wykonał decyzji, o której mowa w art. 68zj lub art. 68zk ust. 12, w zakresie zniszczenia w terminie określonym w tej decyzji pojazdu, przedmiotu wyposażenia lub części, Dyrektor TDT jako organ nadzoru rynku ma prawo wstępu na teren nieruchomości, obiektu, lokalu lub ich części tego podmiotu gospodarczego celem odebrania mu pojazdu, przedmiotu wyposażenia lub części objętego decyzją i dokonania ich zniszczenia na koszt tego podmiotu. Przepisy art. 68zd stosuje się odpowiednio.</w:t>
            </w:r>
            <w:bookmarkEnd w:id="76"/>
            <w:r w:rsidRPr="00647292">
              <w:rPr>
                <w:rFonts w:asciiTheme="minorHAnsi" w:hAnsiTheme="minorHAnsi" w:cstheme="minorHAnsi"/>
                <w:b/>
                <w:i/>
                <w:iCs/>
                <w:color w:val="0070C0"/>
                <w:sz w:val="22"/>
                <w:szCs w:val="22"/>
              </w:rPr>
              <w:t>”</w:t>
            </w:r>
          </w:p>
          <w:p w14:paraId="270AD397" w14:textId="30A5D4CE" w:rsidR="000E76C9" w:rsidRPr="00647292" w:rsidRDefault="00B84394" w:rsidP="00FF4A53">
            <w:pPr>
              <w:tabs>
                <w:tab w:val="left" w:pos="709"/>
              </w:tabs>
              <w:autoSpaceDE w:val="0"/>
              <w:autoSpaceDN w:val="0"/>
              <w:spacing w:before="120" w:after="120"/>
              <w:rPr>
                <w:rFonts w:cstheme="minorHAnsi"/>
                <w:b/>
                <w:color w:val="0070C0"/>
                <w:u w:val="single"/>
              </w:rPr>
            </w:pPr>
            <w:bookmarkStart w:id="77" w:name="_Hlk232712372"/>
            <w:r w:rsidRPr="00647292">
              <w:rPr>
                <w:rFonts w:cstheme="minorHAnsi"/>
                <w:b/>
                <w:color w:val="0070C0"/>
                <w:u w:val="single"/>
              </w:rPr>
              <w:t xml:space="preserve">W pozostałym zakresie przepisy poprawiono zgodnie z uwagą i dodatkowo rozdzielono zgodnie z uwagą RCL: art. 68zzb, art. 70 ust. 11 i art. 71 ust. 10 oraz art. 71s. </w:t>
            </w:r>
            <w:bookmarkEnd w:id="77"/>
          </w:p>
        </w:tc>
      </w:tr>
      <w:tr w:rsidR="000E76C9" w:rsidRPr="00647292" w14:paraId="693E9973" w14:textId="77777777" w:rsidTr="000E423B">
        <w:tc>
          <w:tcPr>
            <w:tcW w:w="562" w:type="dxa"/>
          </w:tcPr>
          <w:p w14:paraId="4B98F06A" w14:textId="47FEEFA2" w:rsidR="000E76C9" w:rsidRPr="00647292" w:rsidRDefault="000E76C9" w:rsidP="000E76C9">
            <w:pPr>
              <w:rPr>
                <w:b/>
                <w:color w:val="0070C0"/>
              </w:rPr>
            </w:pPr>
            <w:r w:rsidRPr="00647292">
              <w:rPr>
                <w:b/>
                <w:color w:val="0070C0"/>
              </w:rPr>
              <w:t>140</w:t>
            </w:r>
          </w:p>
        </w:tc>
        <w:tc>
          <w:tcPr>
            <w:tcW w:w="2694" w:type="dxa"/>
            <w:gridSpan w:val="2"/>
          </w:tcPr>
          <w:p w14:paraId="454BFF74" w14:textId="5823BDDC"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0F93E307" w14:textId="06AE7067" w:rsidR="000E76C9" w:rsidRPr="00647292" w:rsidRDefault="00647292" w:rsidP="000E76C9">
            <w:pPr>
              <w:rPr>
                <w:b/>
                <w:color w:val="0070C0"/>
              </w:rPr>
            </w:pPr>
            <w:r w:rsidRPr="00647292">
              <w:rPr>
                <w:b/>
                <w:color w:val="0070C0"/>
              </w:rPr>
              <w:t>Art. 71s</w:t>
            </w:r>
          </w:p>
        </w:tc>
        <w:tc>
          <w:tcPr>
            <w:tcW w:w="3827" w:type="dxa"/>
          </w:tcPr>
          <w:p w14:paraId="56749AEE" w14:textId="283928DC" w:rsidR="00B84394"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 xml:space="preserve">Rozważenia wymaga zmiana rodzaju odsetek naliczanych od opłat i kar pieniężnych (projektowany art. 71s </w:t>
            </w:r>
            <w:r w:rsidR="00FF4A53" w:rsidRPr="00647292">
              <w:rPr>
                <w:rFonts w:cstheme="minorHAnsi"/>
                <w:b/>
                <w:color w:val="0070C0"/>
              </w:rPr>
              <w:br/>
            </w:r>
            <w:r w:rsidRPr="00647292">
              <w:rPr>
                <w:rFonts w:cstheme="minorHAnsi"/>
                <w:b/>
                <w:color w:val="0070C0"/>
              </w:rPr>
              <w:t xml:space="preserve">ust. 1). Zgodnie z art. 189i </w:t>
            </w:r>
            <w:bookmarkStart w:id="78" w:name="_Hlk232156946"/>
            <w:r w:rsidRPr="00647292">
              <w:rPr>
                <w:rFonts w:cstheme="minorHAnsi"/>
                <w:b/>
                <w:color w:val="0070C0"/>
              </w:rPr>
              <w:t>§</w:t>
            </w:r>
            <w:bookmarkEnd w:id="78"/>
            <w:r w:rsidRPr="00647292">
              <w:rPr>
                <w:rFonts w:cstheme="minorHAnsi"/>
                <w:b/>
                <w:color w:val="0070C0"/>
              </w:rPr>
              <w:t xml:space="preserve"> 2 KPA, co do zasady od zaległej administracyjnej kary pieniężnej nalicza się odsetki za zwłokę w wysokości określonej jak dla zaległości podatkowych.</w:t>
            </w:r>
          </w:p>
          <w:p w14:paraId="37794DDF" w14:textId="77777777" w:rsidR="000E76C9" w:rsidRPr="00647292" w:rsidRDefault="000E76C9" w:rsidP="000E76C9">
            <w:pPr>
              <w:rPr>
                <w:b/>
                <w:color w:val="0070C0"/>
              </w:rPr>
            </w:pPr>
          </w:p>
        </w:tc>
        <w:tc>
          <w:tcPr>
            <w:tcW w:w="3686" w:type="dxa"/>
          </w:tcPr>
          <w:p w14:paraId="0C755AD0" w14:textId="77777777" w:rsidR="00B84394" w:rsidRPr="00647292" w:rsidRDefault="00B84394" w:rsidP="00B84394">
            <w:pPr>
              <w:pStyle w:val="ZARTzmartartykuempunktem"/>
              <w:spacing w:before="120" w:after="120" w:line="240" w:lineRule="auto"/>
              <w:ind w:left="0" w:firstLine="0"/>
              <w:jc w:val="left"/>
              <w:rPr>
                <w:rFonts w:asciiTheme="minorHAnsi" w:hAnsiTheme="minorHAnsi" w:cstheme="minorHAnsi"/>
                <w:b/>
                <w:color w:val="0070C0"/>
                <w:sz w:val="22"/>
                <w:szCs w:val="22"/>
                <w:u w:val="single"/>
                <w:lang w:eastAsia="en-US"/>
              </w:rPr>
            </w:pPr>
            <w:r w:rsidRPr="00647292">
              <w:rPr>
                <w:rFonts w:asciiTheme="minorHAnsi" w:hAnsiTheme="minorHAnsi" w:cstheme="minorHAnsi"/>
                <w:b/>
                <w:color w:val="0070C0"/>
                <w:sz w:val="22"/>
                <w:szCs w:val="22"/>
                <w:u w:val="single"/>
                <w:lang w:eastAsia="en-US"/>
              </w:rPr>
              <w:t xml:space="preserve">Rozwiązanie to zostało przyjęte w oparciu o art. 40d ustawy z dnia 21 marca 1985 r. o drogach publicznych (Dz. U. z 2025 r. poz. 889), w której wskazano, w jaki sposób państwo lub zarządca drogi może ściągnąć nieuregulowane należności – jeśli kierowca lub przedsiębiorca nie zapłaci w terminie wymienionych opłat (np. opłat za zajęcie pasa drogowego) wraz z odsetkami, zostaną one ściągnięte przymusowo w trybie egzekucji w administracji. Przepis art. 40d odnosi się także do kar pieniężnych, np. za naruszenie obowiązku uiszczenia opłaty elektronicznej, zgodnie z art. 13k ust. 1 tej ustawy. </w:t>
            </w:r>
          </w:p>
          <w:p w14:paraId="43AD450B" w14:textId="77777777" w:rsidR="000E76C9" w:rsidRPr="00647292" w:rsidRDefault="000E76C9" w:rsidP="000E76C9">
            <w:pPr>
              <w:rPr>
                <w:b/>
                <w:color w:val="0070C0"/>
              </w:rPr>
            </w:pPr>
          </w:p>
        </w:tc>
      </w:tr>
      <w:tr w:rsidR="000E76C9" w:rsidRPr="00647292" w14:paraId="4863C8CC" w14:textId="77777777" w:rsidTr="000E423B">
        <w:tc>
          <w:tcPr>
            <w:tcW w:w="562" w:type="dxa"/>
          </w:tcPr>
          <w:p w14:paraId="2191C48B" w14:textId="6F816E1F" w:rsidR="000E76C9" w:rsidRPr="00647292" w:rsidRDefault="000E76C9" w:rsidP="000E76C9">
            <w:pPr>
              <w:rPr>
                <w:b/>
                <w:color w:val="0070C0"/>
              </w:rPr>
            </w:pPr>
            <w:r w:rsidRPr="00647292">
              <w:rPr>
                <w:b/>
                <w:color w:val="0070C0"/>
              </w:rPr>
              <w:t>141</w:t>
            </w:r>
          </w:p>
        </w:tc>
        <w:tc>
          <w:tcPr>
            <w:tcW w:w="2694" w:type="dxa"/>
            <w:gridSpan w:val="2"/>
          </w:tcPr>
          <w:p w14:paraId="702DD452" w14:textId="6D1AD73D"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2937471A" w14:textId="72EDD324" w:rsidR="000E76C9" w:rsidRPr="00647292" w:rsidRDefault="00647292" w:rsidP="000E76C9">
            <w:pPr>
              <w:rPr>
                <w:b/>
                <w:color w:val="0070C0"/>
              </w:rPr>
            </w:pPr>
            <w:r w:rsidRPr="00647292">
              <w:rPr>
                <w:b/>
                <w:color w:val="0070C0"/>
              </w:rPr>
              <w:t>Art. 71s ust. 3</w:t>
            </w:r>
          </w:p>
        </w:tc>
        <w:tc>
          <w:tcPr>
            <w:tcW w:w="3827" w:type="dxa"/>
          </w:tcPr>
          <w:p w14:paraId="48AFAC22" w14:textId="77777777" w:rsidR="00B84394"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 xml:space="preserve">Projektowany art. 71s ust 3 ustawy o.s.h.p. przewiduje przymusowe wykonanie w drodze egzekucji administracyjnej decyzji o której mowa w art. 68zj ust. 1, art. 68zk ust. 6 i 8 tej ustawy, które nie dotyczą obowiązków o charakterze pieniężnym. </w:t>
            </w:r>
          </w:p>
          <w:p w14:paraId="166B6461" w14:textId="77777777" w:rsidR="00B84394" w:rsidRPr="00647292" w:rsidRDefault="00B84394" w:rsidP="00FF4A53">
            <w:pPr>
              <w:tabs>
                <w:tab w:val="left" w:pos="709"/>
              </w:tabs>
              <w:autoSpaceDE w:val="0"/>
              <w:autoSpaceDN w:val="0"/>
              <w:spacing w:before="120" w:after="120"/>
              <w:rPr>
                <w:rFonts w:cstheme="minorHAnsi"/>
                <w:b/>
                <w:color w:val="0070C0"/>
              </w:rPr>
            </w:pPr>
            <w:r w:rsidRPr="00647292">
              <w:rPr>
                <w:rFonts w:cstheme="minorHAnsi"/>
                <w:b/>
                <w:color w:val="0070C0"/>
              </w:rPr>
              <w:t>W art. 68zk ust. 6 i 8 mowa jest zarówno o decyzji z art. 68zj ust. 1, jak i decyzji wydawanej w razie niewykonania obowiązku określonego w decyzji wydanej na podstawie art. 68zj ust. 1. Powoduje to wątpliwości interpretacyjne co do tego, czy egzekucji administracyjnej podlegają wyłącznie obowiązki wynikające z decyzji, o której mowa w art. 68zj ust. 1, czy również obowiązki określone w decyzjach wydawanych w przypadku niewykonania decyzji z art. 68zj ust. 1. Dla zapewnienia jednoznaczności normy konieczne jest więc posłużenie się liczbą mnogą, w związku z czym proponuję brzmienie art. 71s ust. 3:</w:t>
            </w:r>
          </w:p>
          <w:p w14:paraId="48AF66EB" w14:textId="5B96B1B4" w:rsidR="000E76C9" w:rsidRPr="00647292" w:rsidRDefault="00B84394" w:rsidP="00FF4A53">
            <w:pPr>
              <w:tabs>
                <w:tab w:val="left" w:pos="709"/>
              </w:tabs>
              <w:autoSpaceDE w:val="0"/>
              <w:autoSpaceDN w:val="0"/>
              <w:spacing w:before="120" w:after="120"/>
              <w:rPr>
                <w:rFonts w:cstheme="minorHAnsi"/>
                <w:b/>
                <w:i/>
                <w:iCs/>
                <w:color w:val="0070C0"/>
              </w:rPr>
            </w:pPr>
            <w:r w:rsidRPr="00647292">
              <w:rPr>
                <w:rFonts w:cstheme="minorHAnsi"/>
                <w:b/>
                <w:i/>
                <w:iCs/>
                <w:color w:val="0070C0"/>
              </w:rPr>
              <w:t>W przypadku niewykonania decyzji, o których mowa w art. 68zj ust. 1, art. 68zk ust. 6 i 8 i art. 68zw ust. 3 pkt 2, do egzekucji obowiązków określonych w tych decyzjach, stosuje się przepisy ustawy o postępowaniu egzekucyjnym w administracji.</w:t>
            </w:r>
          </w:p>
        </w:tc>
        <w:tc>
          <w:tcPr>
            <w:tcW w:w="3686" w:type="dxa"/>
          </w:tcPr>
          <w:p w14:paraId="22B29FFF" w14:textId="77777777" w:rsidR="00B84394" w:rsidRPr="00647292" w:rsidRDefault="00B84394" w:rsidP="00FF4A53">
            <w:pPr>
              <w:tabs>
                <w:tab w:val="left" w:pos="709"/>
              </w:tabs>
              <w:autoSpaceDE w:val="0"/>
              <w:autoSpaceDN w:val="0"/>
              <w:spacing w:before="120" w:after="120"/>
              <w:rPr>
                <w:rFonts w:cstheme="minorHAnsi"/>
                <w:b/>
                <w:iCs/>
                <w:color w:val="0070C0"/>
                <w:u w:val="single"/>
              </w:rPr>
            </w:pPr>
            <w:r w:rsidRPr="00647292">
              <w:rPr>
                <w:rFonts w:cstheme="minorHAnsi"/>
                <w:b/>
                <w:iCs/>
                <w:color w:val="0070C0"/>
                <w:u w:val="single"/>
              </w:rPr>
              <w:t xml:space="preserve">Poprawiono zgodnie z uwagą – zmiana numeracji – art. 68zzb ust. 3. </w:t>
            </w:r>
          </w:p>
          <w:p w14:paraId="0C0C213D" w14:textId="77777777" w:rsidR="000E76C9" w:rsidRPr="00647292" w:rsidRDefault="000E76C9" w:rsidP="000E76C9">
            <w:pPr>
              <w:rPr>
                <w:b/>
                <w:color w:val="0070C0"/>
              </w:rPr>
            </w:pPr>
          </w:p>
        </w:tc>
      </w:tr>
      <w:tr w:rsidR="000E76C9" w:rsidRPr="00647292" w14:paraId="4037A3C2" w14:textId="77777777" w:rsidTr="000E423B">
        <w:tc>
          <w:tcPr>
            <w:tcW w:w="562" w:type="dxa"/>
          </w:tcPr>
          <w:p w14:paraId="371B1752" w14:textId="5DACED95" w:rsidR="000E76C9" w:rsidRPr="00647292" w:rsidRDefault="000E76C9" w:rsidP="000E76C9">
            <w:pPr>
              <w:rPr>
                <w:b/>
                <w:color w:val="0070C0"/>
              </w:rPr>
            </w:pPr>
            <w:r w:rsidRPr="00647292">
              <w:rPr>
                <w:b/>
                <w:color w:val="0070C0"/>
              </w:rPr>
              <w:t>142</w:t>
            </w:r>
          </w:p>
        </w:tc>
        <w:tc>
          <w:tcPr>
            <w:tcW w:w="2694" w:type="dxa"/>
            <w:gridSpan w:val="2"/>
          </w:tcPr>
          <w:p w14:paraId="255A7D22" w14:textId="62AD09DA"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1B7F3AC0" w14:textId="4803B88E" w:rsidR="000E76C9" w:rsidRPr="00647292" w:rsidRDefault="00647292" w:rsidP="000E76C9">
            <w:pPr>
              <w:rPr>
                <w:b/>
                <w:color w:val="0070C0"/>
              </w:rPr>
            </w:pPr>
            <w:r w:rsidRPr="00647292">
              <w:rPr>
                <w:b/>
                <w:color w:val="0070C0"/>
              </w:rPr>
              <w:t>Ogólna uwaga w zakresie egzekucji przepisów</w:t>
            </w:r>
          </w:p>
        </w:tc>
        <w:tc>
          <w:tcPr>
            <w:tcW w:w="3827" w:type="dxa"/>
          </w:tcPr>
          <w:p w14:paraId="7AFD9078" w14:textId="28871E95" w:rsidR="000E76C9" w:rsidRPr="00647292" w:rsidRDefault="00B84394" w:rsidP="00FF4A53">
            <w:pPr>
              <w:tabs>
                <w:tab w:val="left" w:pos="709"/>
              </w:tabs>
              <w:autoSpaceDE w:val="0"/>
              <w:autoSpaceDN w:val="0"/>
              <w:spacing w:before="120" w:after="120"/>
              <w:rPr>
                <w:rFonts w:cstheme="minorHAnsi"/>
                <w:b/>
                <w:i/>
                <w:iCs/>
                <w:color w:val="0070C0"/>
              </w:rPr>
            </w:pPr>
            <w:r w:rsidRPr="00647292">
              <w:rPr>
                <w:rFonts w:cstheme="minorHAnsi"/>
                <w:b/>
                <w:color w:val="0070C0"/>
              </w:rPr>
              <w:t>Z projektowanych przepisów nie wynika, że organem egzekucyjnym w egzekucji obowiązków o charakterze niepieniężnym ma być Dyrektor TDT. Co do zasady organem egzekucyjnym w egzekucji obowiązków o charakterze niepieniężnym są: wojewoda, właściwe organy jednostek samorządu terytorialnego czy też kierownicy wojewódzkich lub powiatowych służb, inspekcji i straży. Jednakże takim organem egzekucyjnym może być również inny organ w zakresie określonym odrębnymi ustawami.</w:t>
            </w:r>
            <w:r w:rsidR="00647292" w:rsidRPr="00647292">
              <w:rPr>
                <w:rFonts w:cstheme="minorHAnsi"/>
                <w:b/>
                <w:color w:val="0070C0"/>
              </w:rPr>
              <w:t xml:space="preserve"> </w:t>
            </w:r>
            <w:r w:rsidRPr="00647292">
              <w:rPr>
                <w:rFonts w:cstheme="minorHAnsi"/>
                <w:b/>
                <w:color w:val="0070C0"/>
              </w:rPr>
              <w:t xml:space="preserve">Konieczne jest zatem uzgodnienie z MSWiA  kwestii wykonywania tych obowiązków z wojewodami. Jeżeli wojewodowie zakwestionują możliwość pełnienia funkcji organu egzekucyjnego w zakresie obowiązków o charakterze niepieniężnym (np. ze względów organizacyjno-technicznych), rozważyć można wskazanie w projekcie, że organem tym będzie Dyrektor TDT. </w:t>
            </w:r>
          </w:p>
        </w:tc>
        <w:tc>
          <w:tcPr>
            <w:tcW w:w="3686" w:type="dxa"/>
          </w:tcPr>
          <w:p w14:paraId="17059295"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Na obecną chwilę projekt przewiduje, iż organem egzekucyjnym w egzekucji obowiązków o charakterze niepieniężnym będzie wojewoda. </w:t>
            </w:r>
          </w:p>
          <w:p w14:paraId="6C9C38B0" w14:textId="77777777" w:rsidR="000E76C9" w:rsidRPr="00647292" w:rsidRDefault="000E76C9" w:rsidP="000E76C9">
            <w:pPr>
              <w:rPr>
                <w:b/>
                <w:color w:val="0070C0"/>
              </w:rPr>
            </w:pPr>
          </w:p>
        </w:tc>
      </w:tr>
      <w:tr w:rsidR="000E76C9" w:rsidRPr="00647292" w14:paraId="13EF73A9" w14:textId="77777777" w:rsidTr="000E423B">
        <w:tc>
          <w:tcPr>
            <w:tcW w:w="562" w:type="dxa"/>
          </w:tcPr>
          <w:p w14:paraId="31923201" w14:textId="5AA766E7" w:rsidR="000E76C9" w:rsidRPr="00647292" w:rsidRDefault="000E76C9" w:rsidP="000E76C9">
            <w:pPr>
              <w:rPr>
                <w:b/>
                <w:color w:val="0070C0"/>
              </w:rPr>
            </w:pPr>
            <w:r w:rsidRPr="00647292">
              <w:rPr>
                <w:b/>
                <w:color w:val="0070C0"/>
              </w:rPr>
              <w:t>143</w:t>
            </w:r>
          </w:p>
        </w:tc>
        <w:tc>
          <w:tcPr>
            <w:tcW w:w="2694" w:type="dxa"/>
            <w:gridSpan w:val="2"/>
          </w:tcPr>
          <w:p w14:paraId="509512C0" w14:textId="51CBEC29"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01FD270C" w14:textId="35A63316" w:rsidR="000E76C9" w:rsidRPr="00647292" w:rsidRDefault="00647292" w:rsidP="000E76C9">
            <w:pPr>
              <w:rPr>
                <w:b/>
                <w:color w:val="0070C0"/>
              </w:rPr>
            </w:pPr>
            <w:r w:rsidRPr="00647292">
              <w:rPr>
                <w:b/>
                <w:color w:val="0070C0"/>
              </w:rPr>
              <w:t>Odnośnik nr 2</w:t>
            </w:r>
          </w:p>
        </w:tc>
        <w:tc>
          <w:tcPr>
            <w:tcW w:w="3827" w:type="dxa"/>
          </w:tcPr>
          <w:p w14:paraId="67CF9BEC" w14:textId="1F60D51E" w:rsidR="000E76C9" w:rsidRPr="00647292" w:rsidRDefault="00B84394" w:rsidP="00FF4A53">
            <w:pPr>
              <w:tabs>
                <w:tab w:val="left" w:pos="709"/>
              </w:tabs>
              <w:autoSpaceDE w:val="0"/>
              <w:autoSpaceDN w:val="0"/>
              <w:spacing w:before="120" w:after="120"/>
              <w:rPr>
                <w:rFonts w:cstheme="minorHAnsi"/>
                <w:b/>
                <w:i/>
                <w:iCs/>
                <w:color w:val="0070C0"/>
              </w:rPr>
            </w:pPr>
            <w:r w:rsidRPr="00647292">
              <w:rPr>
                <w:rFonts w:cstheme="minorHAnsi"/>
                <w:b/>
                <w:color w:val="0070C0"/>
              </w:rPr>
              <w:t>Korekty wymaga odnośnik nr 2 do projektu ustawy, który wskazuje, że obejmuje on zmianę przepisów ustawy – Ordynacja podatkowa podczas gdy obecna wersja tego projektu nie przewiduje zmian tej ustawy.</w:t>
            </w:r>
          </w:p>
        </w:tc>
        <w:tc>
          <w:tcPr>
            <w:tcW w:w="3686" w:type="dxa"/>
          </w:tcPr>
          <w:p w14:paraId="36D8168A"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Usunięto zgodnie z uwagą. </w:t>
            </w:r>
          </w:p>
          <w:p w14:paraId="229D9F28" w14:textId="77777777" w:rsidR="000E76C9" w:rsidRPr="00647292" w:rsidRDefault="000E76C9" w:rsidP="000E76C9">
            <w:pPr>
              <w:rPr>
                <w:b/>
                <w:color w:val="0070C0"/>
              </w:rPr>
            </w:pPr>
          </w:p>
        </w:tc>
      </w:tr>
      <w:tr w:rsidR="000E76C9" w:rsidRPr="00647292" w14:paraId="67DB92A9" w14:textId="77777777" w:rsidTr="000E423B">
        <w:tc>
          <w:tcPr>
            <w:tcW w:w="562" w:type="dxa"/>
          </w:tcPr>
          <w:p w14:paraId="6434E1B9" w14:textId="6BE7A5B8" w:rsidR="000E76C9" w:rsidRPr="00647292" w:rsidRDefault="000E76C9" w:rsidP="000E76C9">
            <w:pPr>
              <w:rPr>
                <w:b/>
                <w:color w:val="0070C0"/>
              </w:rPr>
            </w:pPr>
            <w:r w:rsidRPr="00647292">
              <w:rPr>
                <w:b/>
                <w:color w:val="0070C0"/>
              </w:rPr>
              <w:t>144</w:t>
            </w:r>
          </w:p>
        </w:tc>
        <w:tc>
          <w:tcPr>
            <w:tcW w:w="2694" w:type="dxa"/>
            <w:gridSpan w:val="2"/>
          </w:tcPr>
          <w:p w14:paraId="5BC47369" w14:textId="4402AB8F"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1A8C70FE" w14:textId="016C13D3" w:rsidR="000E76C9" w:rsidRPr="00647292" w:rsidRDefault="00647292" w:rsidP="000E76C9">
            <w:pPr>
              <w:rPr>
                <w:b/>
                <w:color w:val="0070C0"/>
              </w:rPr>
            </w:pPr>
            <w:r w:rsidRPr="00647292">
              <w:rPr>
                <w:b/>
                <w:color w:val="0070C0"/>
              </w:rPr>
              <w:t xml:space="preserve">Publikator </w:t>
            </w:r>
          </w:p>
        </w:tc>
        <w:tc>
          <w:tcPr>
            <w:tcW w:w="3827" w:type="dxa"/>
          </w:tcPr>
          <w:p w14:paraId="18D77EB1" w14:textId="60DCB23E" w:rsidR="000E76C9" w:rsidRPr="00647292" w:rsidRDefault="00B84394" w:rsidP="00FF4A53">
            <w:pPr>
              <w:tabs>
                <w:tab w:val="left" w:pos="709"/>
              </w:tabs>
              <w:autoSpaceDE w:val="0"/>
              <w:autoSpaceDN w:val="0"/>
              <w:spacing w:before="120" w:after="120"/>
              <w:rPr>
                <w:rFonts w:cstheme="minorHAnsi"/>
                <w:b/>
                <w:i/>
                <w:iCs/>
                <w:color w:val="0070C0"/>
              </w:rPr>
            </w:pPr>
            <w:r w:rsidRPr="00647292">
              <w:rPr>
                <w:rFonts w:cstheme="minorHAnsi"/>
                <w:b/>
                <w:color w:val="0070C0"/>
              </w:rPr>
              <w:t>Aktualizacji wymaga publikator ustawy o podatku akcyzowym (dotyczy art. 7 projektu ustawy oraz informacji zamieszczonej na str. 17 OSR).</w:t>
            </w:r>
          </w:p>
        </w:tc>
        <w:tc>
          <w:tcPr>
            <w:tcW w:w="3686" w:type="dxa"/>
          </w:tcPr>
          <w:p w14:paraId="74FB3431"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Poprawiono zgodnie z uwagą. </w:t>
            </w:r>
          </w:p>
          <w:p w14:paraId="1E240B8B" w14:textId="77777777" w:rsidR="000E76C9" w:rsidRPr="00647292" w:rsidRDefault="000E76C9" w:rsidP="000E76C9">
            <w:pPr>
              <w:rPr>
                <w:b/>
                <w:color w:val="0070C0"/>
              </w:rPr>
            </w:pPr>
          </w:p>
        </w:tc>
      </w:tr>
      <w:tr w:rsidR="000E76C9" w:rsidRPr="00647292" w14:paraId="3D3BEEEF" w14:textId="77777777" w:rsidTr="000E423B">
        <w:tc>
          <w:tcPr>
            <w:tcW w:w="562" w:type="dxa"/>
          </w:tcPr>
          <w:p w14:paraId="6D963BF4" w14:textId="7D9CF2AE" w:rsidR="000E76C9" w:rsidRPr="00647292" w:rsidRDefault="000E76C9" w:rsidP="000E76C9">
            <w:pPr>
              <w:rPr>
                <w:b/>
                <w:color w:val="0070C0"/>
              </w:rPr>
            </w:pPr>
            <w:r w:rsidRPr="00647292">
              <w:rPr>
                <w:b/>
                <w:color w:val="0070C0"/>
              </w:rPr>
              <w:t>145</w:t>
            </w:r>
          </w:p>
        </w:tc>
        <w:tc>
          <w:tcPr>
            <w:tcW w:w="2694" w:type="dxa"/>
            <w:gridSpan w:val="2"/>
          </w:tcPr>
          <w:p w14:paraId="3786E252" w14:textId="2A413469"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4CA5462B" w14:textId="2A517E4E" w:rsidR="000E76C9" w:rsidRPr="00647292" w:rsidRDefault="00647292" w:rsidP="000E76C9">
            <w:pPr>
              <w:rPr>
                <w:b/>
                <w:color w:val="0070C0"/>
              </w:rPr>
            </w:pPr>
            <w:r w:rsidRPr="00647292">
              <w:rPr>
                <w:b/>
                <w:color w:val="0070C0"/>
              </w:rPr>
              <w:t>Uzasadnienie, OSR</w:t>
            </w:r>
          </w:p>
        </w:tc>
        <w:tc>
          <w:tcPr>
            <w:tcW w:w="3827" w:type="dxa"/>
          </w:tcPr>
          <w:p w14:paraId="0E35CBFA" w14:textId="77777777" w:rsidR="00B84394" w:rsidRPr="00647292" w:rsidRDefault="00B84394" w:rsidP="00B84394">
            <w:pPr>
              <w:tabs>
                <w:tab w:val="left" w:pos="709"/>
              </w:tabs>
              <w:autoSpaceDE w:val="0"/>
              <w:autoSpaceDN w:val="0"/>
              <w:spacing w:before="120" w:after="120"/>
              <w:rPr>
                <w:rFonts w:cstheme="minorHAnsi"/>
                <w:b/>
                <w:color w:val="0070C0"/>
                <w:lang w:eastAsia="pl-PL"/>
              </w:rPr>
            </w:pPr>
            <w:r w:rsidRPr="00647292">
              <w:rPr>
                <w:rFonts w:cstheme="minorHAnsi"/>
                <w:b/>
                <w:color w:val="0070C0"/>
              </w:rPr>
              <w:t>Zmiana polegająca na dodaniu podrozdziału pojazdów ciężarowych typu „skrzynia” oraz „pick-up” w projektowanym art. 72 ust. 1 pkt 10 została uwzględniona. W związku z powyższym zasadne jest uzupełnienie przekazanego OSR, a także uzasadnienia (które nie zostało przekazane przy sprawie) o wskazanie celu oraz istoty wprowadzonej w powyższym zakresie zmiany. W związku z tym proponujemy uzupełnić OSR oraz uzasadnienie w następujący sposób:</w:t>
            </w:r>
          </w:p>
          <w:p w14:paraId="7B81CC6A" w14:textId="426C1EF1" w:rsidR="000E76C9" w:rsidRPr="00647292" w:rsidRDefault="00B84394" w:rsidP="00FF4A53">
            <w:pPr>
              <w:tabs>
                <w:tab w:val="left" w:pos="709"/>
              </w:tabs>
              <w:autoSpaceDE w:val="0"/>
              <w:autoSpaceDN w:val="0"/>
              <w:spacing w:before="120" w:after="120"/>
              <w:rPr>
                <w:rFonts w:cstheme="minorHAnsi"/>
                <w:b/>
                <w:i/>
                <w:iCs/>
                <w:color w:val="0070C0"/>
              </w:rPr>
            </w:pPr>
            <w:r w:rsidRPr="00647292">
              <w:rPr>
                <w:rFonts w:cstheme="minorHAnsi"/>
                <w:b/>
                <w:i/>
                <w:iCs/>
                <w:color w:val="0070C0"/>
              </w:rPr>
              <w:t>„Celem wprowadzonej zmiany jest wyeliminowanie występującego zjawiska unikania przez nieuczciwe podmioty obowiązku zapłaty podatku akcyzowego w przypadku rejestracji sprowadzanych do Polski samochodów typu pick-up jako ciężarowe z wnioskowanym podrodzajem „skrzynia” albo „pick-up”. Samochody typu pick-up w zależności od parametrów technicznych mogą być bowiem traktowane na gruncie przepisów ustawy o podatku akcyzowym jako samochody ciężarowe albo osobowe. W konsekwencji brak w obecnie obowiązującym art. 72 ust. 1 pkt 6a ustawy - Prawo o ruchu drogowym podrodzaju pojazdu ciężarowego „skrzynia” oraz „pick-up” jest wykorzystywany przez nieuczciwe podmioty do rejestrowania tego typu samochodów jako ciężarowe z omijaniem obowiązku zapłaty podatku akcyzowego.”</w:t>
            </w:r>
          </w:p>
        </w:tc>
        <w:tc>
          <w:tcPr>
            <w:tcW w:w="3686" w:type="dxa"/>
          </w:tcPr>
          <w:p w14:paraId="1BC2685B" w14:textId="13673069" w:rsidR="00B84394" w:rsidRPr="00647292" w:rsidRDefault="00B84394" w:rsidP="00647292">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Uzupełniono OSR, w uzasadnieniu również zawiera taką informację. </w:t>
            </w:r>
          </w:p>
          <w:p w14:paraId="0C2A3B9C" w14:textId="77777777" w:rsidR="00B84394" w:rsidRPr="00647292" w:rsidRDefault="00B84394" w:rsidP="00FF4A53">
            <w:pPr>
              <w:tabs>
                <w:tab w:val="left" w:pos="709"/>
              </w:tabs>
              <w:autoSpaceDE w:val="0"/>
              <w:autoSpaceDN w:val="0"/>
              <w:spacing w:before="120" w:after="120"/>
              <w:rPr>
                <w:rFonts w:cstheme="minorHAnsi"/>
                <w:b/>
                <w:i/>
                <w:iCs/>
                <w:color w:val="0070C0"/>
              </w:rPr>
            </w:pPr>
            <w:r w:rsidRPr="00647292">
              <w:rPr>
                <w:rFonts w:cstheme="minorHAnsi"/>
                <w:b/>
                <w:color w:val="0070C0"/>
              </w:rPr>
              <w:t>Konsekwencją projektowanej w art. 72 ust. 10 zmiany będzie konieczność uzupełnienia podrodzaju samochodów ciężarowych o podrodzaj „skrzynia” oraz „pick-up” w analogicznym przepisie zawartym w § 16 ust. 1 pkt 4 lit. c) rozporządzenia Ministra Infrastruktury z dnia 8 listopada 2024 r. w sprawie rejestracji i oznaczania pojazdów, wymagań dla tablic rejestracyjnych oraz wzorów innych dokumentów związanych z rejestracją pojazdów (Dz. U. z 2024 r. poz. 1709).</w:t>
            </w:r>
          </w:p>
          <w:p w14:paraId="3D8BF4D2" w14:textId="77777777" w:rsidR="000E76C9" w:rsidRPr="00647292" w:rsidRDefault="000E76C9" w:rsidP="000E76C9">
            <w:pPr>
              <w:rPr>
                <w:b/>
                <w:color w:val="0070C0"/>
              </w:rPr>
            </w:pPr>
          </w:p>
        </w:tc>
      </w:tr>
      <w:tr w:rsidR="000E76C9" w:rsidRPr="00647292" w14:paraId="6205D2A3" w14:textId="77777777" w:rsidTr="000E423B">
        <w:tc>
          <w:tcPr>
            <w:tcW w:w="562" w:type="dxa"/>
          </w:tcPr>
          <w:p w14:paraId="3F4A2E13" w14:textId="4D063041" w:rsidR="000E76C9" w:rsidRPr="00647292" w:rsidRDefault="000E76C9" w:rsidP="000E76C9">
            <w:pPr>
              <w:rPr>
                <w:b/>
                <w:color w:val="0070C0"/>
              </w:rPr>
            </w:pPr>
            <w:r w:rsidRPr="00647292">
              <w:rPr>
                <w:b/>
                <w:color w:val="0070C0"/>
              </w:rPr>
              <w:t>146</w:t>
            </w:r>
          </w:p>
        </w:tc>
        <w:tc>
          <w:tcPr>
            <w:tcW w:w="2694" w:type="dxa"/>
            <w:gridSpan w:val="2"/>
          </w:tcPr>
          <w:p w14:paraId="1BD67448" w14:textId="235FD43A"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0D37BEC8" w14:textId="25F864B0" w:rsidR="000E76C9" w:rsidRPr="00647292" w:rsidRDefault="00647292" w:rsidP="000E76C9">
            <w:pPr>
              <w:rPr>
                <w:b/>
                <w:color w:val="0070C0"/>
              </w:rPr>
            </w:pPr>
            <w:r w:rsidRPr="00647292">
              <w:rPr>
                <w:b/>
                <w:color w:val="0070C0"/>
              </w:rPr>
              <w:t>OSR</w:t>
            </w:r>
          </w:p>
        </w:tc>
        <w:tc>
          <w:tcPr>
            <w:tcW w:w="3827" w:type="dxa"/>
          </w:tcPr>
          <w:p w14:paraId="116F6AF4" w14:textId="77777777" w:rsidR="00B84394" w:rsidRPr="00647292" w:rsidRDefault="00B84394" w:rsidP="00B84394">
            <w:pPr>
              <w:tabs>
                <w:tab w:val="left" w:pos="709"/>
              </w:tabs>
              <w:autoSpaceDE w:val="0"/>
              <w:autoSpaceDN w:val="0"/>
              <w:spacing w:before="120" w:after="120"/>
              <w:rPr>
                <w:rFonts w:cstheme="minorHAnsi"/>
                <w:b/>
                <w:color w:val="0070C0"/>
              </w:rPr>
            </w:pPr>
            <w:r w:rsidRPr="00647292">
              <w:rPr>
                <w:rFonts w:cstheme="minorHAnsi"/>
                <w:b/>
                <w:color w:val="0070C0"/>
              </w:rPr>
              <w:t>W pkt 6 OSR „</w:t>
            </w:r>
            <w:r w:rsidRPr="00647292">
              <w:rPr>
                <w:rFonts w:cstheme="minorHAnsi"/>
                <w:b/>
                <w:i/>
                <w:iCs/>
                <w:color w:val="0070C0"/>
              </w:rPr>
              <w:t>Źródła finansowania</w:t>
            </w:r>
            <w:r w:rsidRPr="00647292">
              <w:rPr>
                <w:rFonts w:cstheme="minorHAnsi"/>
                <w:b/>
                <w:color w:val="0070C0"/>
              </w:rPr>
              <w:t xml:space="preserve">” powinna zostać wskazana zwięzła i czytelna informacja o źródłach finansowania projektu (tj. wskazanie części budżetowych, z których będą sfinansowane poszczególne zadania, jak i nazwy jednostek sektora finansów publicznych, dla których ustawa wywołuje określone skutki). </w:t>
            </w:r>
          </w:p>
          <w:p w14:paraId="2E9EC338" w14:textId="57E14CF2" w:rsidR="000E76C9" w:rsidRPr="00647292" w:rsidRDefault="00B84394" w:rsidP="00FF4A53">
            <w:pPr>
              <w:tabs>
                <w:tab w:val="left" w:pos="709"/>
              </w:tabs>
              <w:autoSpaceDE w:val="0"/>
              <w:autoSpaceDN w:val="0"/>
              <w:spacing w:before="120" w:after="120"/>
              <w:rPr>
                <w:rFonts w:cstheme="minorHAnsi"/>
                <w:b/>
                <w:color w:val="0070C0"/>
              </w:rPr>
            </w:pPr>
            <w:r w:rsidRPr="00647292">
              <w:rPr>
                <w:rFonts w:cstheme="minorHAnsi"/>
                <w:b/>
                <w:color w:val="0070C0"/>
              </w:rPr>
              <w:t>Jednocześnie w tej rubryce OSR powinna zostać umieszona informacja, że skutki dla budżetu państwa oraz pozostałych jednostek sektora finansów publicznych zostaną sfinansowane w ramach limitu wydatków określonego w ustawach budżetowych na kolejne lata, we właściwej części budżetowej/ planów finansowych danej jednostki, bez konieczności pozyskania dodatkowych środków na ten cel. Wszystkie treści niezwiązane ze źródłami finansowania powinny zostać przeniesione do rubryki „</w:t>
            </w:r>
            <w:r w:rsidRPr="00647292">
              <w:rPr>
                <w:rFonts w:cstheme="minorHAnsi"/>
                <w:b/>
                <w:i/>
                <w:iCs/>
                <w:color w:val="0070C0"/>
              </w:rPr>
              <w:t xml:space="preserve">Dodatkowe informacje(…)”. </w:t>
            </w:r>
            <w:r w:rsidRPr="00647292">
              <w:rPr>
                <w:rFonts w:cstheme="minorHAnsi"/>
                <w:b/>
                <w:color w:val="0070C0"/>
              </w:rPr>
              <w:t>OSR stanie się bardziej przejrzysty i czytelny, co powoli zachować logiczną strukturę dokumentu zgodnie z wytycznymi legislacyjnymi.</w:t>
            </w:r>
          </w:p>
        </w:tc>
        <w:tc>
          <w:tcPr>
            <w:tcW w:w="3686" w:type="dxa"/>
          </w:tcPr>
          <w:p w14:paraId="5218CB8C"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Ustalono na roboczo, iż w części dot. źródeł finansowania pozostaną w OSR tylko zwięzłe informacje dot. źródeł finansowania MI oraz pozostałych jednostek FP (w tym TDT). Pozostałe treści związane z danymi przyjętymi do wyliczeń zostaną przeniesione do wiersza „Dodatkowe informacje”. </w:t>
            </w:r>
          </w:p>
          <w:p w14:paraId="1C45ADED"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highlight w:val="yellow"/>
                <w:u w:val="single"/>
              </w:rPr>
              <w:t xml:space="preserve">W przypadku Policji brak wskazania w pkt 6 OSR części budżetowej (str. 32 OSR) – brak informacji w tym zakresie ze strony Policji. </w:t>
            </w:r>
          </w:p>
          <w:p w14:paraId="1BB3F68A" w14:textId="77777777" w:rsidR="000E76C9" w:rsidRPr="00647292" w:rsidRDefault="000E76C9" w:rsidP="000E76C9">
            <w:pPr>
              <w:rPr>
                <w:b/>
                <w:color w:val="0070C0"/>
              </w:rPr>
            </w:pPr>
          </w:p>
        </w:tc>
      </w:tr>
      <w:tr w:rsidR="000E76C9" w:rsidRPr="00647292" w14:paraId="4140F9A5" w14:textId="77777777" w:rsidTr="000E423B">
        <w:tc>
          <w:tcPr>
            <w:tcW w:w="562" w:type="dxa"/>
          </w:tcPr>
          <w:p w14:paraId="146EB47F" w14:textId="0F90DC58" w:rsidR="000E76C9" w:rsidRPr="00647292" w:rsidRDefault="000E76C9" w:rsidP="000E76C9">
            <w:pPr>
              <w:rPr>
                <w:b/>
                <w:color w:val="0070C0"/>
              </w:rPr>
            </w:pPr>
            <w:r w:rsidRPr="00647292">
              <w:rPr>
                <w:b/>
                <w:color w:val="0070C0"/>
              </w:rPr>
              <w:t>147</w:t>
            </w:r>
          </w:p>
        </w:tc>
        <w:tc>
          <w:tcPr>
            <w:tcW w:w="2694" w:type="dxa"/>
            <w:gridSpan w:val="2"/>
          </w:tcPr>
          <w:p w14:paraId="760F3A95" w14:textId="51CA0E39" w:rsidR="000E76C9" w:rsidRPr="00647292" w:rsidRDefault="00B84394" w:rsidP="000E76C9">
            <w:pPr>
              <w:rPr>
                <w:b/>
                <w:color w:val="0070C0"/>
                <w:vertAlign w:val="superscript"/>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41476D26" w14:textId="0352FC5E" w:rsidR="000E76C9" w:rsidRPr="00647292" w:rsidRDefault="00647292" w:rsidP="000E76C9">
            <w:pPr>
              <w:rPr>
                <w:b/>
                <w:i/>
                <w:color w:val="0070C0"/>
              </w:rPr>
            </w:pPr>
            <w:r w:rsidRPr="00647292">
              <w:rPr>
                <w:b/>
                <w:color w:val="0070C0"/>
              </w:rPr>
              <w:t>OSR</w:t>
            </w:r>
          </w:p>
        </w:tc>
        <w:tc>
          <w:tcPr>
            <w:tcW w:w="3827" w:type="dxa"/>
          </w:tcPr>
          <w:p w14:paraId="6C3330EE" w14:textId="7951C284" w:rsidR="000E76C9" w:rsidRPr="00647292" w:rsidRDefault="00B84394" w:rsidP="00FF4A53">
            <w:pPr>
              <w:tabs>
                <w:tab w:val="left" w:pos="709"/>
              </w:tabs>
              <w:autoSpaceDE w:val="0"/>
              <w:autoSpaceDN w:val="0"/>
              <w:spacing w:before="120" w:after="120"/>
              <w:rPr>
                <w:rFonts w:cstheme="minorHAnsi"/>
                <w:b/>
                <w:color w:val="0070C0"/>
                <w:lang w:eastAsia="pl-PL"/>
              </w:rPr>
            </w:pPr>
            <w:r w:rsidRPr="00647292">
              <w:rPr>
                <w:rFonts w:cstheme="minorHAnsi"/>
                <w:b/>
                <w:color w:val="0070C0"/>
              </w:rPr>
              <w:t>W pkt 6 OSR „</w:t>
            </w:r>
            <w:r w:rsidRPr="00647292">
              <w:rPr>
                <w:rFonts w:cstheme="minorHAnsi"/>
                <w:b/>
                <w:i/>
                <w:iCs/>
                <w:color w:val="0070C0"/>
              </w:rPr>
              <w:t>Źródła finansowania</w:t>
            </w:r>
            <w:r w:rsidRPr="00647292">
              <w:rPr>
                <w:rFonts w:cstheme="minorHAnsi"/>
                <w:b/>
                <w:color w:val="0070C0"/>
              </w:rPr>
              <w:t>” na str. 32 i 39 sugeruję zastąpienie użytych  sformułowań „23% VAT z opłat” oraz „23% z podatku VAT wyrażeniem „podatek VAT obliczony według stawki 23%”.</w:t>
            </w:r>
          </w:p>
        </w:tc>
        <w:tc>
          <w:tcPr>
            <w:tcW w:w="3686" w:type="dxa"/>
          </w:tcPr>
          <w:p w14:paraId="5B555BFB" w14:textId="77777777" w:rsidR="00B84394" w:rsidRPr="00647292" w:rsidRDefault="00B84394" w:rsidP="00FF4A53">
            <w:pPr>
              <w:tabs>
                <w:tab w:val="left" w:pos="709"/>
              </w:tabs>
              <w:autoSpaceDE w:val="0"/>
              <w:autoSpaceDN w:val="0"/>
              <w:spacing w:before="120" w:after="120"/>
              <w:rPr>
                <w:rFonts w:cstheme="minorHAnsi"/>
                <w:b/>
                <w:color w:val="0070C0"/>
                <w:u w:val="single"/>
              </w:rPr>
            </w:pPr>
            <w:r w:rsidRPr="00647292">
              <w:rPr>
                <w:rFonts w:cstheme="minorHAnsi"/>
                <w:b/>
                <w:color w:val="0070C0"/>
                <w:u w:val="single"/>
              </w:rPr>
              <w:t xml:space="preserve">Poprawione zgodnie z uwagą. </w:t>
            </w:r>
          </w:p>
          <w:p w14:paraId="02E90A68" w14:textId="77777777" w:rsidR="000E76C9" w:rsidRPr="00647292" w:rsidRDefault="000E76C9" w:rsidP="000E76C9">
            <w:pPr>
              <w:rPr>
                <w:b/>
                <w:color w:val="0070C0"/>
              </w:rPr>
            </w:pPr>
          </w:p>
        </w:tc>
      </w:tr>
      <w:tr w:rsidR="00647292" w:rsidRPr="00647292" w14:paraId="5E0C05B4" w14:textId="77777777" w:rsidTr="000E423B">
        <w:tc>
          <w:tcPr>
            <w:tcW w:w="562" w:type="dxa"/>
          </w:tcPr>
          <w:p w14:paraId="74B5FBD1" w14:textId="3903B774" w:rsidR="000E76C9" w:rsidRPr="00647292" w:rsidRDefault="000E76C9" w:rsidP="000E76C9">
            <w:pPr>
              <w:rPr>
                <w:b/>
                <w:color w:val="0070C0"/>
              </w:rPr>
            </w:pPr>
            <w:r w:rsidRPr="00647292">
              <w:rPr>
                <w:b/>
                <w:color w:val="0070C0"/>
              </w:rPr>
              <w:t>148</w:t>
            </w:r>
          </w:p>
        </w:tc>
        <w:tc>
          <w:tcPr>
            <w:tcW w:w="2694" w:type="dxa"/>
            <w:gridSpan w:val="2"/>
          </w:tcPr>
          <w:p w14:paraId="048A7FB5" w14:textId="7366EDCA" w:rsidR="000E76C9" w:rsidRPr="00647292" w:rsidRDefault="00B84394" w:rsidP="000E76C9">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5052031E" w14:textId="4EBD51B2" w:rsidR="000E76C9" w:rsidRPr="00647292" w:rsidRDefault="00647292" w:rsidP="000E76C9">
            <w:pPr>
              <w:rPr>
                <w:b/>
                <w:i/>
                <w:color w:val="0070C0"/>
              </w:rPr>
            </w:pPr>
            <w:r w:rsidRPr="00647292">
              <w:rPr>
                <w:b/>
                <w:color w:val="0070C0"/>
              </w:rPr>
              <w:t>OSR</w:t>
            </w:r>
          </w:p>
        </w:tc>
        <w:tc>
          <w:tcPr>
            <w:tcW w:w="3827" w:type="dxa"/>
          </w:tcPr>
          <w:p w14:paraId="754E70DC" w14:textId="7B8E4D3B" w:rsidR="000E76C9" w:rsidRPr="00647292" w:rsidRDefault="00B84394" w:rsidP="00647292">
            <w:pPr>
              <w:tabs>
                <w:tab w:val="left" w:pos="709"/>
              </w:tabs>
              <w:autoSpaceDE w:val="0"/>
              <w:autoSpaceDN w:val="0"/>
              <w:spacing w:before="120" w:after="120"/>
              <w:rPr>
                <w:rFonts w:cstheme="minorHAnsi"/>
                <w:b/>
                <w:color w:val="0070C0"/>
              </w:rPr>
            </w:pPr>
            <w:r w:rsidRPr="00647292">
              <w:rPr>
                <w:rFonts w:cstheme="minorHAnsi"/>
                <w:b/>
                <w:color w:val="0070C0"/>
              </w:rPr>
              <w:t>Zgodnie z informacją zawartą w OSR projekt będzie powodował m.in. wydatki Ministerstwie Infrastruktury (zwiększenie zatrudnienia o 3 etaty), wydatki dla Ministerstwa Spraw Wewnętrznych i Administracji (projekt oddziałuje na Policję oraz Straż Graniczną), a także koszty dla Funduszu Celowego –Centralna Ewidencja Pojazdów i Kierowców (dostosowanie systemu CEP do zmian). Nie akceptujemy zwiększenia zatrudnienia w Ministerstwie Infrastruktury. Wszystkie ww. skutki finansowe powinny zostać pokryte w ramach środków pozostających w dyspozycji poszczególnych Ministrów danej części budżetowej oraz ze środków – w ramach wydatków ujętych w planie finansowym Funduszu – bez ubiegania się o dodatkowe środki na ten cel.</w:t>
            </w:r>
          </w:p>
        </w:tc>
        <w:tc>
          <w:tcPr>
            <w:tcW w:w="3686" w:type="dxa"/>
          </w:tcPr>
          <w:p w14:paraId="250F3833" w14:textId="77777777" w:rsidR="00B84394" w:rsidRPr="00647292" w:rsidRDefault="00B84394" w:rsidP="00FF4A53">
            <w:pPr>
              <w:pStyle w:val="Akapitzlist"/>
              <w:numPr>
                <w:ilvl w:val="0"/>
                <w:numId w:val="31"/>
              </w:numPr>
              <w:autoSpaceDE w:val="0"/>
              <w:autoSpaceDN w:val="0"/>
              <w:adjustRightInd w:val="0"/>
              <w:spacing w:before="120" w:after="120" w:line="240" w:lineRule="auto"/>
              <w:ind w:left="317" w:hanging="357"/>
              <w:contextualSpacing w:val="0"/>
              <w:rPr>
                <w:rFonts w:cstheme="minorHAnsi"/>
                <w:b/>
                <w:color w:val="0070C0"/>
                <w:sz w:val="22"/>
                <w:szCs w:val="22"/>
              </w:rPr>
            </w:pPr>
            <w:r w:rsidRPr="00647292">
              <w:rPr>
                <w:rFonts w:cstheme="minorHAnsi"/>
                <w:b/>
                <w:color w:val="0070C0"/>
                <w:sz w:val="22"/>
                <w:szCs w:val="22"/>
              </w:rPr>
              <w:t>MI podtrzymuje, iż zwiększenie zatrudnienia w MI docelowo o 3 nowe etaty nie spowoduje dodatkowych skutków finansowych dla budżetu państwa. Koszty zatrudnienia 3 nowych pracowników zostaną pokryte z części 39 – Transport, której dysponentem jest minister właściwy do spraw transportu w ramach przydzielonego limitu środków finansowych na dany rok budżetowy;</w:t>
            </w:r>
          </w:p>
          <w:p w14:paraId="53EBC907" w14:textId="77777777" w:rsidR="00B84394" w:rsidRPr="00647292" w:rsidRDefault="00B84394" w:rsidP="00FF4A53">
            <w:pPr>
              <w:pStyle w:val="Akapitzlist"/>
              <w:numPr>
                <w:ilvl w:val="0"/>
                <w:numId w:val="31"/>
              </w:numPr>
              <w:autoSpaceDE w:val="0"/>
              <w:autoSpaceDN w:val="0"/>
              <w:adjustRightInd w:val="0"/>
              <w:spacing w:before="120" w:after="120" w:line="240" w:lineRule="auto"/>
              <w:ind w:left="317" w:hanging="357"/>
              <w:contextualSpacing w:val="0"/>
              <w:rPr>
                <w:rFonts w:cstheme="minorHAnsi"/>
                <w:b/>
                <w:color w:val="0070C0"/>
                <w:sz w:val="22"/>
                <w:szCs w:val="22"/>
              </w:rPr>
            </w:pPr>
            <w:r w:rsidRPr="00647292">
              <w:rPr>
                <w:rFonts w:cstheme="minorHAnsi"/>
                <w:b/>
                <w:color w:val="0070C0"/>
                <w:sz w:val="22"/>
                <w:szCs w:val="22"/>
              </w:rPr>
              <w:t>w zakresie COI – uzupełniono;</w:t>
            </w:r>
          </w:p>
          <w:p w14:paraId="178BFCD8" w14:textId="77777777" w:rsidR="00B84394" w:rsidRPr="00647292" w:rsidRDefault="00B84394" w:rsidP="00FF4A53">
            <w:pPr>
              <w:pStyle w:val="Akapitzlist"/>
              <w:numPr>
                <w:ilvl w:val="0"/>
                <w:numId w:val="31"/>
              </w:numPr>
              <w:autoSpaceDE w:val="0"/>
              <w:autoSpaceDN w:val="0"/>
              <w:adjustRightInd w:val="0"/>
              <w:spacing w:before="120" w:after="120" w:line="240" w:lineRule="auto"/>
              <w:ind w:left="317" w:hanging="357"/>
              <w:contextualSpacing w:val="0"/>
              <w:rPr>
                <w:rFonts w:cstheme="minorHAnsi"/>
                <w:b/>
                <w:color w:val="0070C0"/>
                <w:sz w:val="22"/>
                <w:szCs w:val="22"/>
              </w:rPr>
            </w:pPr>
            <w:r w:rsidRPr="00647292">
              <w:rPr>
                <w:rFonts w:cstheme="minorHAnsi"/>
                <w:b/>
                <w:color w:val="0070C0"/>
                <w:sz w:val="22"/>
                <w:szCs w:val="22"/>
              </w:rPr>
              <w:t xml:space="preserve">MSWiA – doprecyzowano OSR – Straż Graniczna – brak wydatków, Policja – mogą być wydatki w zakresie dostosowania do ZAOiL – </w:t>
            </w:r>
            <w:r w:rsidRPr="00647292">
              <w:rPr>
                <w:rFonts w:cstheme="minorHAnsi"/>
                <w:b/>
                <w:color w:val="0070C0"/>
                <w:sz w:val="22"/>
                <w:szCs w:val="22"/>
                <w:highlight w:val="yellow"/>
              </w:rPr>
              <w:t>brak informacji z Policji w tym zakresie.</w:t>
            </w:r>
            <w:r w:rsidRPr="00647292">
              <w:rPr>
                <w:rFonts w:cstheme="minorHAnsi"/>
                <w:b/>
                <w:color w:val="0070C0"/>
                <w:sz w:val="22"/>
                <w:szCs w:val="22"/>
              </w:rPr>
              <w:t xml:space="preserve"> </w:t>
            </w:r>
          </w:p>
          <w:p w14:paraId="5D4C9564" w14:textId="77777777" w:rsidR="000E76C9" w:rsidRPr="00647292" w:rsidRDefault="000E76C9" w:rsidP="00647292">
            <w:pPr>
              <w:rPr>
                <w:b/>
                <w:color w:val="0070C0"/>
              </w:rPr>
            </w:pPr>
          </w:p>
        </w:tc>
      </w:tr>
      <w:tr w:rsidR="00647292" w:rsidRPr="00647292" w14:paraId="05DB24F7" w14:textId="77777777" w:rsidTr="00D76FE7">
        <w:tc>
          <w:tcPr>
            <w:tcW w:w="562" w:type="dxa"/>
          </w:tcPr>
          <w:p w14:paraId="204F6B9B" w14:textId="6375F202" w:rsidR="000E76C9" w:rsidRPr="00647292" w:rsidRDefault="000E76C9" w:rsidP="0042202B">
            <w:pPr>
              <w:rPr>
                <w:b/>
                <w:color w:val="0070C0"/>
              </w:rPr>
            </w:pPr>
            <w:r w:rsidRPr="00647292">
              <w:rPr>
                <w:b/>
                <w:color w:val="0070C0"/>
              </w:rPr>
              <w:t>149</w:t>
            </w:r>
          </w:p>
        </w:tc>
        <w:tc>
          <w:tcPr>
            <w:tcW w:w="2694" w:type="dxa"/>
            <w:gridSpan w:val="2"/>
          </w:tcPr>
          <w:p w14:paraId="21DFCDD6" w14:textId="56F87DE5" w:rsidR="000E76C9" w:rsidRPr="00647292" w:rsidRDefault="00B84394" w:rsidP="0042202B">
            <w:pPr>
              <w:rPr>
                <w:b/>
                <w:color w:val="0070C0"/>
              </w:rPr>
            </w:pPr>
            <w:r w:rsidRPr="00647292">
              <w:rPr>
                <w:rFonts w:cstheme="minorHAnsi"/>
                <w:b/>
                <w:color w:val="0070C0"/>
              </w:rPr>
              <w:t>MFiG</w:t>
            </w:r>
            <w:r w:rsidR="00647292" w:rsidRPr="00647292">
              <w:rPr>
                <w:rFonts w:cstheme="minorHAnsi"/>
                <w:b/>
                <w:color w:val="0070C0"/>
                <w:vertAlign w:val="superscript"/>
              </w:rPr>
              <w:t>*)</w:t>
            </w:r>
          </w:p>
        </w:tc>
        <w:tc>
          <w:tcPr>
            <w:tcW w:w="5953" w:type="dxa"/>
          </w:tcPr>
          <w:p w14:paraId="21E84AE2" w14:textId="4FF4087B" w:rsidR="000E76C9" w:rsidRPr="00647292" w:rsidRDefault="00647292" w:rsidP="0042202B">
            <w:pPr>
              <w:rPr>
                <w:b/>
                <w:i/>
                <w:color w:val="0070C0"/>
              </w:rPr>
            </w:pPr>
            <w:r w:rsidRPr="00647292">
              <w:rPr>
                <w:b/>
                <w:color w:val="0070C0"/>
              </w:rPr>
              <w:t>OSR</w:t>
            </w:r>
          </w:p>
        </w:tc>
        <w:tc>
          <w:tcPr>
            <w:tcW w:w="3827" w:type="dxa"/>
          </w:tcPr>
          <w:p w14:paraId="360863E9" w14:textId="77777777" w:rsidR="00B84394" w:rsidRPr="00647292" w:rsidRDefault="00B84394" w:rsidP="00FF4A53">
            <w:pPr>
              <w:tabs>
                <w:tab w:val="left" w:pos="709"/>
              </w:tabs>
              <w:autoSpaceDE w:val="0"/>
              <w:autoSpaceDN w:val="0"/>
              <w:spacing w:before="120" w:after="120"/>
              <w:rPr>
                <w:rFonts w:cstheme="minorHAnsi"/>
                <w:b/>
                <w:color w:val="0070C0"/>
              </w:rPr>
            </w:pPr>
            <w:r w:rsidRPr="00647292">
              <w:rPr>
                <w:rFonts w:cstheme="minorHAnsi"/>
                <w:b/>
                <w:color w:val="0070C0"/>
              </w:rPr>
              <w:t>Projekt ustawy w dalszym ciągu zakłada zwiększenie wydatków TDT, w związku z zadaniami nakładanymi na jednostkę. Ponownie zwracam uwagę, że od 2025 r. wydatki państwowych osób prawnych uwzględniane są w stabilizującej regule wydatkowej (SRW), a co za tymi idzie wpływają na dostępną przestrzeń wydatkową. Pomimo, iż zatrudnienie dodatkowych pracowników w TDT oraz inne koszty wynikające z wprowadzonych zmian miałyby być finansowane z pobieranych przez jednostkę opłat, wpłynie to na zwiększenie łącznych wydatków w planie państwowej osoby prawnej. Zakładane zwiększone wydatki powinny być finansowane w ramach dostępnych oszczędności w planie finansowym, bez konieczności zwiększania łącznych wydatków. Podtrzymuję stanowisko co do potrzeby prowadzenia kolejnych analiz w zakresie zasadności wzrostu wydatków TDT, wykazanego w pkt 6 OSR.</w:t>
            </w:r>
          </w:p>
          <w:p w14:paraId="678D8628" w14:textId="5FF64952" w:rsidR="000E76C9" w:rsidRPr="00647292" w:rsidRDefault="00B84394" w:rsidP="00647292">
            <w:pPr>
              <w:tabs>
                <w:tab w:val="left" w:pos="709"/>
              </w:tabs>
              <w:autoSpaceDE w:val="0"/>
              <w:autoSpaceDN w:val="0"/>
              <w:spacing w:before="120" w:after="120"/>
              <w:rPr>
                <w:rFonts w:cstheme="minorHAnsi"/>
                <w:b/>
                <w:color w:val="0070C0"/>
              </w:rPr>
            </w:pPr>
            <w:r w:rsidRPr="00647292">
              <w:rPr>
                <w:rFonts w:cstheme="minorHAnsi"/>
                <w:b/>
                <w:color w:val="0070C0"/>
              </w:rPr>
              <w:t>Dodatkowo analiza danych zawartych w pkt 6 OSR w tabeli przedstawiającej skutki w okresie 10 lat od wejścia w życie zmian, wskazuje na ujemne saldo TDT w roku „0”, tj. 2026 r. Projektowana regulacja nie powinna negatywnie wpływać na wynik finansowy jednostki. W związku z powyższym proponuję przesunięcie terminu wejścia w życie</w:t>
            </w:r>
            <w:r w:rsidR="00FF4A53" w:rsidRPr="00647292">
              <w:rPr>
                <w:rFonts w:cstheme="minorHAnsi"/>
                <w:b/>
                <w:color w:val="0070C0"/>
              </w:rPr>
              <w:t xml:space="preserve"> </w:t>
            </w:r>
            <w:r w:rsidRPr="00647292">
              <w:rPr>
                <w:rFonts w:cstheme="minorHAnsi"/>
                <w:b/>
                <w:color w:val="0070C0"/>
              </w:rPr>
              <w:t>projektowanych rozwiązań na 2027 r. lub określenie zadań TDT w sposób neutralnie oddziałujący na wynik finansowy tej jednostki.</w:t>
            </w:r>
          </w:p>
        </w:tc>
        <w:tc>
          <w:tcPr>
            <w:tcW w:w="3686" w:type="dxa"/>
          </w:tcPr>
          <w:p w14:paraId="1622294A" w14:textId="77777777" w:rsidR="00B84394" w:rsidRPr="00647292" w:rsidRDefault="00B84394" w:rsidP="00FF4A53">
            <w:pPr>
              <w:tabs>
                <w:tab w:val="left" w:pos="709"/>
              </w:tabs>
              <w:autoSpaceDE w:val="0"/>
              <w:autoSpaceDN w:val="0"/>
              <w:spacing w:before="120" w:after="120"/>
              <w:rPr>
                <w:rFonts w:cstheme="minorHAnsi"/>
                <w:b/>
                <w:color w:val="0070C0"/>
              </w:rPr>
            </w:pPr>
            <w:r w:rsidRPr="00647292">
              <w:rPr>
                <w:rFonts w:cstheme="minorHAnsi"/>
                <w:b/>
                <w:color w:val="0070C0"/>
                <w:u w:val="single"/>
              </w:rPr>
              <w:t>Mając na uwadze, iż od roku 2025 wydatki państwowych osób prawnych uwzględniane są w stabilizującej regule wydatkowej, zostały przeprowadzone w tym zakresie szczegółowe analizy, m.in. zmniejszenie pierwotnie zakładanej ilości nowych etatów (o 28 etatów) w TDT do realizacji zadań w zakresie nadzoru rynku. Obecne zatrudnienie w TDT jest optymalne, a zarazem minimalne w stosunku do realizowanych zadań. Zadania wynikające z projektu ustawy w tym zakresie to dla TDT zadania nowe, dotychczas nierealizowane. Tym samym TDT nie jest w stanie dokonać przesunięć kadrowych z zadań obecnie realizowanych do realizacji zadań nowo nałożonych. Koszty zaprezentowane po stronie TDT to w wielu przypadkach koszty, które dotychczas nie były ponoszone przez jednostkę oraz koszty osobowe i utrzymania nowych etatów. W pkt 6 OSR jako rok „0” zostanie przyjęty rok 2027, co spowoduje dodatnie saldo TDT.</w:t>
            </w:r>
          </w:p>
          <w:p w14:paraId="3B60A65E" w14:textId="77777777" w:rsidR="000E76C9" w:rsidRPr="00647292" w:rsidRDefault="000E76C9" w:rsidP="0042202B">
            <w:pPr>
              <w:rPr>
                <w:b/>
                <w:color w:val="0070C0"/>
              </w:rPr>
            </w:pPr>
          </w:p>
        </w:tc>
      </w:tr>
    </w:tbl>
    <w:p w14:paraId="00B543ED" w14:textId="77777777" w:rsidR="005C1FEE" w:rsidRPr="00647292" w:rsidRDefault="005C1FEE" w:rsidP="0042202B">
      <w:pPr>
        <w:spacing w:after="0" w:line="240" w:lineRule="auto"/>
        <w:rPr>
          <w:b/>
          <w:color w:val="0070C0"/>
        </w:rPr>
      </w:pPr>
    </w:p>
    <w:p w14:paraId="44FB8EF3" w14:textId="77777777" w:rsidR="005C1FEE" w:rsidRPr="00647292" w:rsidRDefault="005C1FEE" w:rsidP="0042202B">
      <w:pPr>
        <w:spacing w:after="0" w:line="240" w:lineRule="auto"/>
        <w:rPr>
          <w:rFonts w:cstheme="minorHAnsi"/>
          <w:b/>
          <w:color w:val="0070C0"/>
        </w:rPr>
      </w:pPr>
    </w:p>
    <w:p w14:paraId="01A7CE6F" w14:textId="77777777" w:rsidR="005C1FEE" w:rsidRPr="00647292" w:rsidRDefault="005C1FEE" w:rsidP="0042202B">
      <w:pPr>
        <w:spacing w:after="0" w:line="240" w:lineRule="auto"/>
        <w:rPr>
          <w:rFonts w:cstheme="minorHAnsi"/>
          <w:b/>
          <w:color w:val="0070C0"/>
        </w:rPr>
      </w:pPr>
    </w:p>
    <w:p w14:paraId="1DA72236" w14:textId="77777777" w:rsidR="005C1FEE" w:rsidRPr="00647292" w:rsidRDefault="005C1FEE" w:rsidP="0042202B">
      <w:pPr>
        <w:spacing w:after="0" w:line="240" w:lineRule="auto"/>
        <w:rPr>
          <w:rFonts w:cstheme="minorHAnsi"/>
          <w:b/>
          <w:color w:val="0070C0"/>
        </w:rPr>
      </w:pPr>
    </w:p>
    <w:p w14:paraId="04E111A6" w14:textId="77777777" w:rsidR="0099347F" w:rsidRPr="00647292" w:rsidRDefault="0099347F" w:rsidP="0042202B">
      <w:pPr>
        <w:spacing w:after="0" w:line="240" w:lineRule="auto"/>
        <w:rPr>
          <w:rFonts w:cstheme="minorHAnsi"/>
          <w:b/>
        </w:rPr>
      </w:pPr>
    </w:p>
    <w:sectPr w:rsidR="0099347F" w:rsidRPr="00647292" w:rsidSect="00B91BB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6A613" w14:textId="77777777" w:rsidR="00B92C5F" w:rsidRDefault="00B92C5F" w:rsidP="00CA2841">
      <w:pPr>
        <w:spacing w:after="0" w:line="240" w:lineRule="auto"/>
      </w:pPr>
      <w:r>
        <w:separator/>
      </w:r>
    </w:p>
  </w:endnote>
  <w:endnote w:type="continuationSeparator" w:id="0">
    <w:p w14:paraId="58C0795D" w14:textId="77777777" w:rsidR="00B92C5F" w:rsidRDefault="00B92C5F" w:rsidP="00CA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altName w:val="Segoe UI"/>
    <w:charset w:val="00"/>
    <w:family w:val="swiss"/>
    <w:pitch w:val="variable"/>
    <w:sig w:usb0="E10002FF" w:usb1="5000ECFF" w:usb2="00000021" w:usb3="00000000" w:csb0="0000019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EUAlbertina">
    <w:altName w:val="Calibri"/>
    <w:panose1 w:val="00000000000000000000"/>
    <w:charset w:val="00"/>
    <w:family w:val="roman"/>
    <w:notTrueType/>
    <w:pitch w:val="default"/>
    <w:sig w:usb0="00000001" w:usb1="00000000" w:usb2="00000000" w:usb3="00000000" w:csb0="00000003" w:csb1="00000000"/>
  </w:font>
  <w:font w:name="Aptos">
    <w:charset w:val="00"/>
    <w:family w:val="swiss"/>
    <w:pitch w:val="variable"/>
    <w:sig w:usb0="20000287" w:usb1="00000003" w:usb2="00000000" w:usb3="00000000" w:csb0="0000019F" w:csb1="00000000"/>
  </w:font>
  <w:font w:name="Lato-Regular">
    <w:altName w:val="Segoe UI"/>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546EF" w14:textId="77777777" w:rsidR="00B92C5F" w:rsidRDefault="00B92C5F" w:rsidP="00CA2841">
      <w:pPr>
        <w:spacing w:after="0" w:line="240" w:lineRule="auto"/>
      </w:pPr>
      <w:r>
        <w:separator/>
      </w:r>
    </w:p>
  </w:footnote>
  <w:footnote w:type="continuationSeparator" w:id="0">
    <w:p w14:paraId="5946121F" w14:textId="77777777" w:rsidR="00B92C5F" w:rsidRDefault="00B92C5F" w:rsidP="00CA2841">
      <w:pPr>
        <w:spacing w:after="0" w:line="240" w:lineRule="auto"/>
      </w:pPr>
      <w:r>
        <w:continuationSeparator/>
      </w:r>
    </w:p>
  </w:footnote>
  <w:footnote w:id="1">
    <w:p w14:paraId="722C9D04" w14:textId="76DFC1E6" w:rsidR="00575BB9" w:rsidRPr="00EF494C" w:rsidRDefault="00575BB9">
      <w:pPr>
        <w:pStyle w:val="Tekstprzypisudolnego"/>
        <w:rPr>
          <w:rFonts w:ascii="Lato" w:hAnsi="Lato" w:cs="Times New Roman"/>
          <w:sz w:val="22"/>
          <w:szCs w:val="22"/>
        </w:rPr>
      </w:pPr>
      <w:r w:rsidRPr="00EF494C">
        <w:rPr>
          <w:rStyle w:val="Odwoanieprzypisudolnego"/>
          <w:rFonts w:ascii="Lato" w:hAnsi="Lato" w:cs="Times New Roman"/>
        </w:rPr>
        <w:t>1)</w:t>
      </w:r>
      <w:r w:rsidRPr="00EF494C">
        <w:rPr>
          <w:rFonts w:ascii="Lato" w:hAnsi="Lato" w:cs="Times New Roman"/>
        </w:rPr>
        <w:t xml:space="preserve"> W przypadku aktu nowelizującego należy wskazać jednostkę redakcyjną projektu oraz jednostkę redakcyjną zmienianego aktu prawnego.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1068"/>
    <w:multiLevelType w:val="hybridMultilevel"/>
    <w:tmpl w:val="319A6114"/>
    <w:lvl w:ilvl="0" w:tplc="4D8E97E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259091D"/>
    <w:multiLevelType w:val="multilevel"/>
    <w:tmpl w:val="83D627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E157E1"/>
    <w:multiLevelType w:val="hybridMultilevel"/>
    <w:tmpl w:val="082A925A"/>
    <w:lvl w:ilvl="0" w:tplc="04150011">
      <w:start w:val="1"/>
      <w:numFmt w:val="decimal"/>
      <w:lvlText w:val="%1)"/>
      <w:lvlJc w:val="left"/>
      <w:pPr>
        <w:ind w:left="1380" w:hanging="360"/>
      </w:p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3" w15:restartNumberingAfterBreak="0">
    <w:nsid w:val="1E3A42EC"/>
    <w:multiLevelType w:val="hybridMultilevel"/>
    <w:tmpl w:val="15BE6996"/>
    <w:lvl w:ilvl="0" w:tplc="04150011">
      <w:start w:val="1"/>
      <w:numFmt w:val="decimal"/>
      <w:lvlText w:val="%1)"/>
      <w:lvlJc w:val="left"/>
      <w:pPr>
        <w:ind w:left="-1401" w:hanging="360"/>
      </w:pPr>
    </w:lvl>
    <w:lvl w:ilvl="1" w:tplc="04150019">
      <w:start w:val="1"/>
      <w:numFmt w:val="lowerLetter"/>
      <w:lvlText w:val="%2."/>
      <w:lvlJc w:val="left"/>
      <w:pPr>
        <w:ind w:left="-681" w:hanging="360"/>
      </w:pPr>
    </w:lvl>
    <w:lvl w:ilvl="2" w:tplc="0415001B">
      <w:start w:val="1"/>
      <w:numFmt w:val="lowerRoman"/>
      <w:lvlText w:val="%3."/>
      <w:lvlJc w:val="right"/>
      <w:pPr>
        <w:ind w:left="39" w:hanging="180"/>
      </w:pPr>
    </w:lvl>
    <w:lvl w:ilvl="3" w:tplc="0415000F">
      <w:start w:val="1"/>
      <w:numFmt w:val="decimal"/>
      <w:lvlText w:val="%4."/>
      <w:lvlJc w:val="left"/>
      <w:pPr>
        <w:ind w:left="759" w:hanging="360"/>
      </w:pPr>
    </w:lvl>
    <w:lvl w:ilvl="4" w:tplc="04150019">
      <w:start w:val="1"/>
      <w:numFmt w:val="lowerLetter"/>
      <w:lvlText w:val="%5."/>
      <w:lvlJc w:val="left"/>
      <w:pPr>
        <w:ind w:left="1479" w:hanging="360"/>
      </w:pPr>
    </w:lvl>
    <w:lvl w:ilvl="5" w:tplc="0415001B">
      <w:start w:val="1"/>
      <w:numFmt w:val="lowerRoman"/>
      <w:lvlText w:val="%6."/>
      <w:lvlJc w:val="right"/>
      <w:pPr>
        <w:ind w:left="2199" w:hanging="180"/>
      </w:pPr>
    </w:lvl>
    <w:lvl w:ilvl="6" w:tplc="0415000F">
      <w:start w:val="1"/>
      <w:numFmt w:val="decimal"/>
      <w:lvlText w:val="%7."/>
      <w:lvlJc w:val="left"/>
      <w:pPr>
        <w:ind w:left="2919" w:hanging="360"/>
      </w:pPr>
    </w:lvl>
    <w:lvl w:ilvl="7" w:tplc="04150019">
      <w:start w:val="1"/>
      <w:numFmt w:val="lowerLetter"/>
      <w:lvlText w:val="%8."/>
      <w:lvlJc w:val="left"/>
      <w:pPr>
        <w:ind w:left="3639" w:hanging="360"/>
      </w:pPr>
    </w:lvl>
    <w:lvl w:ilvl="8" w:tplc="0415001B">
      <w:start w:val="1"/>
      <w:numFmt w:val="lowerRoman"/>
      <w:lvlText w:val="%9."/>
      <w:lvlJc w:val="right"/>
      <w:pPr>
        <w:ind w:left="4359" w:hanging="180"/>
      </w:pPr>
    </w:lvl>
  </w:abstractNum>
  <w:abstractNum w:abstractNumId="4" w15:restartNumberingAfterBreak="0">
    <w:nsid w:val="20E93FF9"/>
    <w:multiLevelType w:val="hybridMultilevel"/>
    <w:tmpl w:val="9B743908"/>
    <w:lvl w:ilvl="0" w:tplc="219E1652">
      <w:start w:val="1"/>
      <w:numFmt w:val="decimal"/>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4547314"/>
    <w:multiLevelType w:val="hybridMultilevel"/>
    <w:tmpl w:val="2AF0C15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4AB7DB7"/>
    <w:multiLevelType w:val="hybridMultilevel"/>
    <w:tmpl w:val="DFEAD4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D14F26"/>
    <w:multiLevelType w:val="multilevel"/>
    <w:tmpl w:val="67489110"/>
    <w:lvl w:ilvl="0">
      <w:start w:val="1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2B8C4CDF"/>
    <w:multiLevelType w:val="multilevel"/>
    <w:tmpl w:val="73BA3F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391DF2"/>
    <w:multiLevelType w:val="multilevel"/>
    <w:tmpl w:val="FC6415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BB6B7C"/>
    <w:multiLevelType w:val="hybridMultilevel"/>
    <w:tmpl w:val="71CE7D7C"/>
    <w:lvl w:ilvl="0" w:tplc="D3ACFC08">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11" w15:restartNumberingAfterBreak="0">
    <w:nsid w:val="3B7C47C3"/>
    <w:multiLevelType w:val="hybridMultilevel"/>
    <w:tmpl w:val="78024FE4"/>
    <w:lvl w:ilvl="0" w:tplc="04150017">
      <w:start w:val="1"/>
      <w:numFmt w:val="lowerLetter"/>
      <w:lvlText w:val="%1)"/>
      <w:lvlJc w:val="left"/>
      <w:pPr>
        <w:ind w:left="1741" w:hanging="360"/>
      </w:pPr>
    </w:lvl>
    <w:lvl w:ilvl="1" w:tplc="04150019" w:tentative="1">
      <w:start w:val="1"/>
      <w:numFmt w:val="lowerLetter"/>
      <w:lvlText w:val="%2."/>
      <w:lvlJc w:val="left"/>
      <w:pPr>
        <w:ind w:left="2461" w:hanging="360"/>
      </w:pPr>
    </w:lvl>
    <w:lvl w:ilvl="2" w:tplc="0415001B" w:tentative="1">
      <w:start w:val="1"/>
      <w:numFmt w:val="lowerRoman"/>
      <w:lvlText w:val="%3."/>
      <w:lvlJc w:val="right"/>
      <w:pPr>
        <w:ind w:left="3181" w:hanging="180"/>
      </w:pPr>
    </w:lvl>
    <w:lvl w:ilvl="3" w:tplc="0415000F" w:tentative="1">
      <w:start w:val="1"/>
      <w:numFmt w:val="decimal"/>
      <w:lvlText w:val="%4."/>
      <w:lvlJc w:val="left"/>
      <w:pPr>
        <w:ind w:left="3901" w:hanging="360"/>
      </w:pPr>
    </w:lvl>
    <w:lvl w:ilvl="4" w:tplc="04150019" w:tentative="1">
      <w:start w:val="1"/>
      <w:numFmt w:val="lowerLetter"/>
      <w:lvlText w:val="%5."/>
      <w:lvlJc w:val="left"/>
      <w:pPr>
        <w:ind w:left="4621" w:hanging="360"/>
      </w:pPr>
    </w:lvl>
    <w:lvl w:ilvl="5" w:tplc="0415001B" w:tentative="1">
      <w:start w:val="1"/>
      <w:numFmt w:val="lowerRoman"/>
      <w:lvlText w:val="%6."/>
      <w:lvlJc w:val="right"/>
      <w:pPr>
        <w:ind w:left="5341" w:hanging="180"/>
      </w:pPr>
    </w:lvl>
    <w:lvl w:ilvl="6" w:tplc="0415000F" w:tentative="1">
      <w:start w:val="1"/>
      <w:numFmt w:val="decimal"/>
      <w:lvlText w:val="%7."/>
      <w:lvlJc w:val="left"/>
      <w:pPr>
        <w:ind w:left="6061" w:hanging="360"/>
      </w:pPr>
    </w:lvl>
    <w:lvl w:ilvl="7" w:tplc="04150019" w:tentative="1">
      <w:start w:val="1"/>
      <w:numFmt w:val="lowerLetter"/>
      <w:lvlText w:val="%8."/>
      <w:lvlJc w:val="left"/>
      <w:pPr>
        <w:ind w:left="6781" w:hanging="360"/>
      </w:pPr>
    </w:lvl>
    <w:lvl w:ilvl="8" w:tplc="0415001B" w:tentative="1">
      <w:start w:val="1"/>
      <w:numFmt w:val="lowerRoman"/>
      <w:lvlText w:val="%9."/>
      <w:lvlJc w:val="right"/>
      <w:pPr>
        <w:ind w:left="7501" w:hanging="180"/>
      </w:pPr>
    </w:lvl>
  </w:abstractNum>
  <w:abstractNum w:abstractNumId="12" w15:restartNumberingAfterBreak="0">
    <w:nsid w:val="43E84B86"/>
    <w:multiLevelType w:val="hybridMultilevel"/>
    <w:tmpl w:val="11B24B52"/>
    <w:lvl w:ilvl="0" w:tplc="A56EE2B6">
      <w:start w:val="1"/>
      <w:numFmt w:val="decimal"/>
      <w:lvlText w:val="%1)"/>
      <w:lvlJc w:val="left"/>
      <w:pPr>
        <w:ind w:left="1380" w:hanging="360"/>
      </w:pPr>
    </w:lvl>
    <w:lvl w:ilvl="1" w:tplc="04150019">
      <w:start w:val="1"/>
      <w:numFmt w:val="lowerLetter"/>
      <w:lvlText w:val="%2."/>
      <w:lvlJc w:val="left"/>
      <w:pPr>
        <w:ind w:left="2100" w:hanging="360"/>
      </w:pPr>
    </w:lvl>
    <w:lvl w:ilvl="2" w:tplc="0415001B">
      <w:start w:val="1"/>
      <w:numFmt w:val="lowerRoman"/>
      <w:lvlText w:val="%3."/>
      <w:lvlJc w:val="right"/>
      <w:pPr>
        <w:ind w:left="2820" w:hanging="180"/>
      </w:pPr>
    </w:lvl>
    <w:lvl w:ilvl="3" w:tplc="0415000F">
      <w:start w:val="1"/>
      <w:numFmt w:val="decimal"/>
      <w:lvlText w:val="%4."/>
      <w:lvlJc w:val="left"/>
      <w:pPr>
        <w:ind w:left="3540" w:hanging="360"/>
      </w:pPr>
    </w:lvl>
    <w:lvl w:ilvl="4" w:tplc="04150019">
      <w:start w:val="1"/>
      <w:numFmt w:val="lowerLetter"/>
      <w:lvlText w:val="%5."/>
      <w:lvlJc w:val="left"/>
      <w:pPr>
        <w:ind w:left="4260" w:hanging="360"/>
      </w:pPr>
    </w:lvl>
    <w:lvl w:ilvl="5" w:tplc="0415001B">
      <w:start w:val="1"/>
      <w:numFmt w:val="lowerRoman"/>
      <w:lvlText w:val="%6."/>
      <w:lvlJc w:val="right"/>
      <w:pPr>
        <w:ind w:left="4980" w:hanging="180"/>
      </w:pPr>
    </w:lvl>
    <w:lvl w:ilvl="6" w:tplc="0415000F">
      <w:start w:val="1"/>
      <w:numFmt w:val="decimal"/>
      <w:lvlText w:val="%7."/>
      <w:lvlJc w:val="left"/>
      <w:pPr>
        <w:ind w:left="5700" w:hanging="360"/>
      </w:pPr>
    </w:lvl>
    <w:lvl w:ilvl="7" w:tplc="04150019">
      <w:start w:val="1"/>
      <w:numFmt w:val="lowerLetter"/>
      <w:lvlText w:val="%8."/>
      <w:lvlJc w:val="left"/>
      <w:pPr>
        <w:ind w:left="6420" w:hanging="360"/>
      </w:pPr>
    </w:lvl>
    <w:lvl w:ilvl="8" w:tplc="0415001B">
      <w:start w:val="1"/>
      <w:numFmt w:val="lowerRoman"/>
      <w:lvlText w:val="%9."/>
      <w:lvlJc w:val="right"/>
      <w:pPr>
        <w:ind w:left="7140" w:hanging="180"/>
      </w:pPr>
    </w:lvl>
  </w:abstractNum>
  <w:abstractNum w:abstractNumId="13" w15:restartNumberingAfterBreak="0">
    <w:nsid w:val="455E7736"/>
    <w:multiLevelType w:val="hybridMultilevel"/>
    <w:tmpl w:val="B62681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963756"/>
    <w:multiLevelType w:val="multilevel"/>
    <w:tmpl w:val="4224B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9B1F8D"/>
    <w:multiLevelType w:val="hybridMultilevel"/>
    <w:tmpl w:val="B0C4D8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176E0E"/>
    <w:multiLevelType w:val="hybridMultilevel"/>
    <w:tmpl w:val="DEDAE8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D9C0F83"/>
    <w:multiLevelType w:val="multilevel"/>
    <w:tmpl w:val="A7B079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E820AFA"/>
    <w:multiLevelType w:val="hybridMultilevel"/>
    <w:tmpl w:val="A022D7B4"/>
    <w:lvl w:ilvl="0" w:tplc="99225C90">
      <w:start w:val="1"/>
      <w:numFmt w:val="decimal"/>
      <w:lvlText w:val="%1)"/>
      <w:lvlJc w:val="left"/>
      <w:pPr>
        <w:ind w:left="-140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0D704FA"/>
    <w:multiLevelType w:val="hybridMultilevel"/>
    <w:tmpl w:val="F37EAB7A"/>
    <w:lvl w:ilvl="0" w:tplc="1FC2A6D8">
      <w:start w:val="1"/>
      <w:numFmt w:val="bullet"/>
      <w:lvlText w:val=""/>
      <w:lvlJc w:val="left"/>
      <w:pPr>
        <w:ind w:left="720" w:hanging="360"/>
      </w:pPr>
      <w:rPr>
        <w:rFonts w:ascii="Symbol" w:hAnsi="Symbol" w:hint="default"/>
      </w:rPr>
    </w:lvl>
    <w:lvl w:ilvl="1" w:tplc="48428D00" w:tentative="1">
      <w:start w:val="1"/>
      <w:numFmt w:val="bullet"/>
      <w:lvlText w:val="o"/>
      <w:lvlJc w:val="left"/>
      <w:pPr>
        <w:ind w:left="1440" w:hanging="360"/>
      </w:pPr>
      <w:rPr>
        <w:rFonts w:ascii="Courier New" w:hAnsi="Courier New" w:cs="Courier New" w:hint="default"/>
      </w:rPr>
    </w:lvl>
    <w:lvl w:ilvl="2" w:tplc="B2060E30" w:tentative="1">
      <w:start w:val="1"/>
      <w:numFmt w:val="bullet"/>
      <w:lvlText w:val=""/>
      <w:lvlJc w:val="left"/>
      <w:pPr>
        <w:ind w:left="2160" w:hanging="360"/>
      </w:pPr>
      <w:rPr>
        <w:rFonts w:ascii="Wingdings" w:hAnsi="Wingdings" w:hint="default"/>
      </w:rPr>
    </w:lvl>
    <w:lvl w:ilvl="3" w:tplc="99E0990A" w:tentative="1">
      <w:start w:val="1"/>
      <w:numFmt w:val="bullet"/>
      <w:lvlText w:val=""/>
      <w:lvlJc w:val="left"/>
      <w:pPr>
        <w:ind w:left="2880" w:hanging="360"/>
      </w:pPr>
      <w:rPr>
        <w:rFonts w:ascii="Symbol" w:hAnsi="Symbol" w:hint="default"/>
      </w:rPr>
    </w:lvl>
    <w:lvl w:ilvl="4" w:tplc="9C7602CA" w:tentative="1">
      <w:start w:val="1"/>
      <w:numFmt w:val="bullet"/>
      <w:lvlText w:val="o"/>
      <w:lvlJc w:val="left"/>
      <w:pPr>
        <w:ind w:left="3600" w:hanging="360"/>
      </w:pPr>
      <w:rPr>
        <w:rFonts w:ascii="Courier New" w:hAnsi="Courier New" w:cs="Courier New" w:hint="default"/>
      </w:rPr>
    </w:lvl>
    <w:lvl w:ilvl="5" w:tplc="422CFBFC" w:tentative="1">
      <w:start w:val="1"/>
      <w:numFmt w:val="bullet"/>
      <w:lvlText w:val=""/>
      <w:lvlJc w:val="left"/>
      <w:pPr>
        <w:ind w:left="4320" w:hanging="360"/>
      </w:pPr>
      <w:rPr>
        <w:rFonts w:ascii="Wingdings" w:hAnsi="Wingdings" w:hint="default"/>
      </w:rPr>
    </w:lvl>
    <w:lvl w:ilvl="6" w:tplc="BC9EAF66" w:tentative="1">
      <w:start w:val="1"/>
      <w:numFmt w:val="bullet"/>
      <w:lvlText w:val=""/>
      <w:lvlJc w:val="left"/>
      <w:pPr>
        <w:ind w:left="5040" w:hanging="360"/>
      </w:pPr>
      <w:rPr>
        <w:rFonts w:ascii="Symbol" w:hAnsi="Symbol" w:hint="default"/>
      </w:rPr>
    </w:lvl>
    <w:lvl w:ilvl="7" w:tplc="5AD4F6A8" w:tentative="1">
      <w:start w:val="1"/>
      <w:numFmt w:val="bullet"/>
      <w:lvlText w:val="o"/>
      <w:lvlJc w:val="left"/>
      <w:pPr>
        <w:ind w:left="5760" w:hanging="360"/>
      </w:pPr>
      <w:rPr>
        <w:rFonts w:ascii="Courier New" w:hAnsi="Courier New" w:cs="Courier New" w:hint="default"/>
      </w:rPr>
    </w:lvl>
    <w:lvl w:ilvl="8" w:tplc="3DCC3F0A" w:tentative="1">
      <w:start w:val="1"/>
      <w:numFmt w:val="bullet"/>
      <w:lvlText w:val=""/>
      <w:lvlJc w:val="left"/>
      <w:pPr>
        <w:ind w:left="6480" w:hanging="360"/>
      </w:pPr>
      <w:rPr>
        <w:rFonts w:ascii="Wingdings" w:hAnsi="Wingdings" w:hint="default"/>
      </w:rPr>
    </w:lvl>
  </w:abstractNum>
  <w:abstractNum w:abstractNumId="20" w15:restartNumberingAfterBreak="0">
    <w:nsid w:val="537319F0"/>
    <w:multiLevelType w:val="hybridMultilevel"/>
    <w:tmpl w:val="9550B84E"/>
    <w:lvl w:ilvl="0" w:tplc="BC30EDD4">
      <w:start w:val="1"/>
      <w:numFmt w:val="decimal"/>
      <w:lvlText w:val="%1)"/>
      <w:lvlJc w:val="left"/>
      <w:pPr>
        <w:ind w:left="870" w:hanging="360"/>
      </w:pPr>
      <w:rPr>
        <w:rFonts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21" w15:restartNumberingAfterBreak="0">
    <w:nsid w:val="56096287"/>
    <w:multiLevelType w:val="multilevel"/>
    <w:tmpl w:val="1B7225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B410E1D"/>
    <w:multiLevelType w:val="multilevel"/>
    <w:tmpl w:val="460493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2551226"/>
    <w:multiLevelType w:val="hybridMultilevel"/>
    <w:tmpl w:val="10AA96A2"/>
    <w:lvl w:ilvl="0" w:tplc="B71C51BC">
      <w:start w:val="1"/>
      <w:numFmt w:val="lowerLetter"/>
      <w:lvlText w:val="%1)"/>
      <w:lvlJc w:val="left"/>
      <w:pPr>
        <w:ind w:left="1098" w:hanging="360"/>
      </w:pPr>
      <w:rPr>
        <w:rFonts w:hint="default"/>
      </w:rPr>
    </w:lvl>
    <w:lvl w:ilvl="1" w:tplc="04150019" w:tentative="1">
      <w:start w:val="1"/>
      <w:numFmt w:val="lowerLetter"/>
      <w:lvlText w:val="%2."/>
      <w:lvlJc w:val="left"/>
      <w:pPr>
        <w:ind w:left="1818" w:hanging="360"/>
      </w:pPr>
    </w:lvl>
    <w:lvl w:ilvl="2" w:tplc="0415001B" w:tentative="1">
      <w:start w:val="1"/>
      <w:numFmt w:val="lowerRoman"/>
      <w:lvlText w:val="%3."/>
      <w:lvlJc w:val="right"/>
      <w:pPr>
        <w:ind w:left="2538" w:hanging="180"/>
      </w:pPr>
    </w:lvl>
    <w:lvl w:ilvl="3" w:tplc="0415000F" w:tentative="1">
      <w:start w:val="1"/>
      <w:numFmt w:val="decimal"/>
      <w:lvlText w:val="%4."/>
      <w:lvlJc w:val="left"/>
      <w:pPr>
        <w:ind w:left="3258" w:hanging="360"/>
      </w:pPr>
    </w:lvl>
    <w:lvl w:ilvl="4" w:tplc="04150019" w:tentative="1">
      <w:start w:val="1"/>
      <w:numFmt w:val="lowerLetter"/>
      <w:lvlText w:val="%5."/>
      <w:lvlJc w:val="left"/>
      <w:pPr>
        <w:ind w:left="3978" w:hanging="360"/>
      </w:pPr>
    </w:lvl>
    <w:lvl w:ilvl="5" w:tplc="0415001B" w:tentative="1">
      <w:start w:val="1"/>
      <w:numFmt w:val="lowerRoman"/>
      <w:lvlText w:val="%6."/>
      <w:lvlJc w:val="right"/>
      <w:pPr>
        <w:ind w:left="4698" w:hanging="180"/>
      </w:pPr>
    </w:lvl>
    <w:lvl w:ilvl="6" w:tplc="0415000F" w:tentative="1">
      <w:start w:val="1"/>
      <w:numFmt w:val="decimal"/>
      <w:lvlText w:val="%7."/>
      <w:lvlJc w:val="left"/>
      <w:pPr>
        <w:ind w:left="5418" w:hanging="360"/>
      </w:pPr>
    </w:lvl>
    <w:lvl w:ilvl="7" w:tplc="04150019" w:tentative="1">
      <w:start w:val="1"/>
      <w:numFmt w:val="lowerLetter"/>
      <w:lvlText w:val="%8."/>
      <w:lvlJc w:val="left"/>
      <w:pPr>
        <w:ind w:left="6138" w:hanging="360"/>
      </w:pPr>
    </w:lvl>
    <w:lvl w:ilvl="8" w:tplc="0415001B" w:tentative="1">
      <w:start w:val="1"/>
      <w:numFmt w:val="lowerRoman"/>
      <w:lvlText w:val="%9."/>
      <w:lvlJc w:val="right"/>
      <w:pPr>
        <w:ind w:left="6858" w:hanging="180"/>
      </w:pPr>
    </w:lvl>
  </w:abstractNum>
  <w:abstractNum w:abstractNumId="24" w15:restartNumberingAfterBreak="0">
    <w:nsid w:val="6CC0445B"/>
    <w:multiLevelType w:val="hybridMultilevel"/>
    <w:tmpl w:val="67F6E1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D5E0000"/>
    <w:multiLevelType w:val="hybridMultilevel"/>
    <w:tmpl w:val="69C628FA"/>
    <w:lvl w:ilvl="0" w:tplc="04150017">
      <w:start w:val="1"/>
      <w:numFmt w:val="lowerLetter"/>
      <w:lvlText w:val="%1)"/>
      <w:lvlJc w:val="left"/>
      <w:pPr>
        <w:ind w:left="765" w:hanging="360"/>
      </w:pPr>
    </w:lvl>
    <w:lvl w:ilvl="1" w:tplc="04150019">
      <w:start w:val="1"/>
      <w:numFmt w:val="lowerLetter"/>
      <w:lvlText w:val="%2."/>
      <w:lvlJc w:val="left"/>
      <w:pPr>
        <w:ind w:left="1485" w:hanging="360"/>
      </w:pPr>
    </w:lvl>
    <w:lvl w:ilvl="2" w:tplc="0415001B">
      <w:start w:val="1"/>
      <w:numFmt w:val="lowerRoman"/>
      <w:lvlText w:val="%3."/>
      <w:lvlJc w:val="right"/>
      <w:pPr>
        <w:ind w:left="2205" w:hanging="180"/>
      </w:pPr>
    </w:lvl>
    <w:lvl w:ilvl="3" w:tplc="0415000F">
      <w:start w:val="1"/>
      <w:numFmt w:val="decimal"/>
      <w:lvlText w:val="%4."/>
      <w:lvlJc w:val="left"/>
      <w:pPr>
        <w:ind w:left="2925" w:hanging="360"/>
      </w:pPr>
    </w:lvl>
    <w:lvl w:ilvl="4" w:tplc="04150019">
      <w:start w:val="1"/>
      <w:numFmt w:val="lowerLetter"/>
      <w:lvlText w:val="%5."/>
      <w:lvlJc w:val="left"/>
      <w:pPr>
        <w:ind w:left="3645" w:hanging="360"/>
      </w:pPr>
    </w:lvl>
    <w:lvl w:ilvl="5" w:tplc="0415001B">
      <w:start w:val="1"/>
      <w:numFmt w:val="lowerRoman"/>
      <w:lvlText w:val="%6."/>
      <w:lvlJc w:val="right"/>
      <w:pPr>
        <w:ind w:left="4365" w:hanging="180"/>
      </w:pPr>
    </w:lvl>
    <w:lvl w:ilvl="6" w:tplc="0415000F">
      <w:start w:val="1"/>
      <w:numFmt w:val="decimal"/>
      <w:lvlText w:val="%7."/>
      <w:lvlJc w:val="left"/>
      <w:pPr>
        <w:ind w:left="5085" w:hanging="360"/>
      </w:pPr>
    </w:lvl>
    <w:lvl w:ilvl="7" w:tplc="04150019">
      <w:start w:val="1"/>
      <w:numFmt w:val="lowerLetter"/>
      <w:lvlText w:val="%8."/>
      <w:lvlJc w:val="left"/>
      <w:pPr>
        <w:ind w:left="5805" w:hanging="360"/>
      </w:pPr>
    </w:lvl>
    <w:lvl w:ilvl="8" w:tplc="0415001B">
      <w:start w:val="1"/>
      <w:numFmt w:val="lowerRoman"/>
      <w:lvlText w:val="%9."/>
      <w:lvlJc w:val="right"/>
      <w:pPr>
        <w:ind w:left="6525" w:hanging="180"/>
      </w:pPr>
    </w:lvl>
  </w:abstractNum>
  <w:abstractNum w:abstractNumId="26" w15:restartNumberingAfterBreak="0">
    <w:nsid w:val="6F9B6466"/>
    <w:multiLevelType w:val="hybridMultilevel"/>
    <w:tmpl w:val="5B9615FC"/>
    <w:lvl w:ilvl="0" w:tplc="1DDCE622">
      <w:start w:val="1"/>
      <w:numFmt w:val="lowerLetter"/>
      <w:lvlText w:val="%1)"/>
      <w:lvlJc w:val="left"/>
      <w:pPr>
        <w:ind w:left="1740" w:hanging="360"/>
      </w:pPr>
      <w:rPr>
        <w:rFonts w:hint="default"/>
      </w:rPr>
    </w:lvl>
    <w:lvl w:ilvl="1" w:tplc="04150019" w:tentative="1">
      <w:start w:val="1"/>
      <w:numFmt w:val="lowerLetter"/>
      <w:lvlText w:val="%2."/>
      <w:lvlJc w:val="left"/>
      <w:pPr>
        <w:ind w:left="2460" w:hanging="360"/>
      </w:pPr>
    </w:lvl>
    <w:lvl w:ilvl="2" w:tplc="0415001B" w:tentative="1">
      <w:start w:val="1"/>
      <w:numFmt w:val="lowerRoman"/>
      <w:lvlText w:val="%3."/>
      <w:lvlJc w:val="right"/>
      <w:pPr>
        <w:ind w:left="3180" w:hanging="180"/>
      </w:pPr>
    </w:lvl>
    <w:lvl w:ilvl="3" w:tplc="0415000F" w:tentative="1">
      <w:start w:val="1"/>
      <w:numFmt w:val="decimal"/>
      <w:lvlText w:val="%4."/>
      <w:lvlJc w:val="left"/>
      <w:pPr>
        <w:ind w:left="3900" w:hanging="360"/>
      </w:pPr>
    </w:lvl>
    <w:lvl w:ilvl="4" w:tplc="04150019" w:tentative="1">
      <w:start w:val="1"/>
      <w:numFmt w:val="lowerLetter"/>
      <w:lvlText w:val="%5."/>
      <w:lvlJc w:val="left"/>
      <w:pPr>
        <w:ind w:left="4620" w:hanging="360"/>
      </w:pPr>
    </w:lvl>
    <w:lvl w:ilvl="5" w:tplc="0415001B" w:tentative="1">
      <w:start w:val="1"/>
      <w:numFmt w:val="lowerRoman"/>
      <w:lvlText w:val="%6."/>
      <w:lvlJc w:val="right"/>
      <w:pPr>
        <w:ind w:left="5340" w:hanging="180"/>
      </w:pPr>
    </w:lvl>
    <w:lvl w:ilvl="6" w:tplc="0415000F" w:tentative="1">
      <w:start w:val="1"/>
      <w:numFmt w:val="decimal"/>
      <w:lvlText w:val="%7."/>
      <w:lvlJc w:val="left"/>
      <w:pPr>
        <w:ind w:left="6060" w:hanging="360"/>
      </w:pPr>
    </w:lvl>
    <w:lvl w:ilvl="7" w:tplc="04150019" w:tentative="1">
      <w:start w:val="1"/>
      <w:numFmt w:val="lowerLetter"/>
      <w:lvlText w:val="%8."/>
      <w:lvlJc w:val="left"/>
      <w:pPr>
        <w:ind w:left="6780" w:hanging="360"/>
      </w:pPr>
    </w:lvl>
    <w:lvl w:ilvl="8" w:tplc="0415001B" w:tentative="1">
      <w:start w:val="1"/>
      <w:numFmt w:val="lowerRoman"/>
      <w:lvlText w:val="%9."/>
      <w:lvlJc w:val="right"/>
      <w:pPr>
        <w:ind w:left="7500" w:hanging="180"/>
      </w:pPr>
    </w:lvl>
  </w:abstractNum>
  <w:abstractNum w:abstractNumId="27" w15:restartNumberingAfterBreak="0">
    <w:nsid w:val="701A54B8"/>
    <w:multiLevelType w:val="hybridMultilevel"/>
    <w:tmpl w:val="E10E5618"/>
    <w:lvl w:ilvl="0" w:tplc="04150011">
      <w:start w:val="1"/>
      <w:numFmt w:val="decimal"/>
      <w:lvlText w:val="%1)"/>
      <w:lvlJc w:val="left"/>
      <w:pPr>
        <w:ind w:left="1380" w:hanging="360"/>
      </w:pPr>
      <w:rPr>
        <w:rFonts w:hint="default"/>
      </w:rPr>
    </w:lvl>
    <w:lvl w:ilvl="1" w:tplc="04150019" w:tentative="1">
      <w:start w:val="1"/>
      <w:numFmt w:val="lowerLetter"/>
      <w:lvlText w:val="%2."/>
      <w:lvlJc w:val="left"/>
      <w:pPr>
        <w:ind w:left="2100" w:hanging="360"/>
      </w:pPr>
    </w:lvl>
    <w:lvl w:ilvl="2" w:tplc="0415001B" w:tentative="1">
      <w:start w:val="1"/>
      <w:numFmt w:val="lowerRoman"/>
      <w:lvlText w:val="%3."/>
      <w:lvlJc w:val="right"/>
      <w:pPr>
        <w:ind w:left="2820" w:hanging="180"/>
      </w:pPr>
    </w:lvl>
    <w:lvl w:ilvl="3" w:tplc="0415000F" w:tentative="1">
      <w:start w:val="1"/>
      <w:numFmt w:val="decimal"/>
      <w:lvlText w:val="%4."/>
      <w:lvlJc w:val="left"/>
      <w:pPr>
        <w:ind w:left="3540" w:hanging="360"/>
      </w:pPr>
    </w:lvl>
    <w:lvl w:ilvl="4" w:tplc="04150019" w:tentative="1">
      <w:start w:val="1"/>
      <w:numFmt w:val="lowerLetter"/>
      <w:lvlText w:val="%5."/>
      <w:lvlJc w:val="left"/>
      <w:pPr>
        <w:ind w:left="4260" w:hanging="360"/>
      </w:pPr>
    </w:lvl>
    <w:lvl w:ilvl="5" w:tplc="0415001B" w:tentative="1">
      <w:start w:val="1"/>
      <w:numFmt w:val="lowerRoman"/>
      <w:lvlText w:val="%6."/>
      <w:lvlJc w:val="right"/>
      <w:pPr>
        <w:ind w:left="4980" w:hanging="180"/>
      </w:pPr>
    </w:lvl>
    <w:lvl w:ilvl="6" w:tplc="0415000F" w:tentative="1">
      <w:start w:val="1"/>
      <w:numFmt w:val="decimal"/>
      <w:lvlText w:val="%7."/>
      <w:lvlJc w:val="left"/>
      <w:pPr>
        <w:ind w:left="5700" w:hanging="360"/>
      </w:pPr>
    </w:lvl>
    <w:lvl w:ilvl="7" w:tplc="04150019" w:tentative="1">
      <w:start w:val="1"/>
      <w:numFmt w:val="lowerLetter"/>
      <w:lvlText w:val="%8."/>
      <w:lvlJc w:val="left"/>
      <w:pPr>
        <w:ind w:left="6420" w:hanging="360"/>
      </w:pPr>
    </w:lvl>
    <w:lvl w:ilvl="8" w:tplc="0415001B" w:tentative="1">
      <w:start w:val="1"/>
      <w:numFmt w:val="lowerRoman"/>
      <w:lvlText w:val="%9."/>
      <w:lvlJc w:val="right"/>
      <w:pPr>
        <w:ind w:left="7140" w:hanging="180"/>
      </w:pPr>
    </w:lvl>
  </w:abstractNum>
  <w:abstractNum w:abstractNumId="28" w15:restartNumberingAfterBreak="0">
    <w:nsid w:val="7C4241EE"/>
    <w:multiLevelType w:val="multilevel"/>
    <w:tmpl w:val="6ACEEEA6"/>
    <w:lvl w:ilvl="0">
      <w:start w:val="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7E6C4FD6"/>
    <w:multiLevelType w:val="hybridMultilevel"/>
    <w:tmpl w:val="15BE6996"/>
    <w:lvl w:ilvl="0" w:tplc="04150011">
      <w:start w:val="1"/>
      <w:numFmt w:val="decimal"/>
      <w:lvlText w:val="%1)"/>
      <w:lvlJc w:val="left"/>
      <w:pPr>
        <w:ind w:left="-1401" w:hanging="360"/>
      </w:pPr>
    </w:lvl>
    <w:lvl w:ilvl="1" w:tplc="04150019">
      <w:start w:val="1"/>
      <w:numFmt w:val="lowerLetter"/>
      <w:lvlText w:val="%2."/>
      <w:lvlJc w:val="left"/>
      <w:pPr>
        <w:ind w:left="-681" w:hanging="360"/>
      </w:pPr>
    </w:lvl>
    <w:lvl w:ilvl="2" w:tplc="0415001B">
      <w:start w:val="1"/>
      <w:numFmt w:val="lowerRoman"/>
      <w:lvlText w:val="%3."/>
      <w:lvlJc w:val="right"/>
      <w:pPr>
        <w:ind w:left="39" w:hanging="180"/>
      </w:pPr>
    </w:lvl>
    <w:lvl w:ilvl="3" w:tplc="0415000F">
      <w:start w:val="1"/>
      <w:numFmt w:val="decimal"/>
      <w:lvlText w:val="%4."/>
      <w:lvlJc w:val="left"/>
      <w:pPr>
        <w:ind w:left="759" w:hanging="360"/>
      </w:pPr>
    </w:lvl>
    <w:lvl w:ilvl="4" w:tplc="04150019">
      <w:start w:val="1"/>
      <w:numFmt w:val="lowerLetter"/>
      <w:lvlText w:val="%5."/>
      <w:lvlJc w:val="left"/>
      <w:pPr>
        <w:ind w:left="1479" w:hanging="360"/>
      </w:pPr>
    </w:lvl>
    <w:lvl w:ilvl="5" w:tplc="0415001B">
      <w:start w:val="1"/>
      <w:numFmt w:val="lowerRoman"/>
      <w:lvlText w:val="%6."/>
      <w:lvlJc w:val="right"/>
      <w:pPr>
        <w:ind w:left="2199" w:hanging="180"/>
      </w:pPr>
    </w:lvl>
    <w:lvl w:ilvl="6" w:tplc="0415000F">
      <w:start w:val="1"/>
      <w:numFmt w:val="decimal"/>
      <w:lvlText w:val="%7."/>
      <w:lvlJc w:val="left"/>
      <w:pPr>
        <w:ind w:left="2919" w:hanging="360"/>
      </w:pPr>
    </w:lvl>
    <w:lvl w:ilvl="7" w:tplc="04150019">
      <w:start w:val="1"/>
      <w:numFmt w:val="lowerLetter"/>
      <w:lvlText w:val="%8."/>
      <w:lvlJc w:val="left"/>
      <w:pPr>
        <w:ind w:left="3639" w:hanging="360"/>
      </w:pPr>
    </w:lvl>
    <w:lvl w:ilvl="8" w:tplc="0415001B">
      <w:start w:val="1"/>
      <w:numFmt w:val="lowerRoman"/>
      <w:lvlText w:val="%9."/>
      <w:lvlJc w:val="right"/>
      <w:pPr>
        <w:ind w:left="4359" w:hanging="180"/>
      </w:pPr>
    </w:lvl>
  </w:abstractNum>
  <w:abstractNum w:abstractNumId="30" w15:restartNumberingAfterBreak="0">
    <w:nsid w:val="7EB40075"/>
    <w:multiLevelType w:val="multilevel"/>
    <w:tmpl w:val="4CEC6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87245831">
    <w:abstractNumId w:val="19"/>
  </w:num>
  <w:num w:numId="2" w16cid:durableId="921187151">
    <w:abstractNumId w:val="22"/>
  </w:num>
  <w:num w:numId="3" w16cid:durableId="322398668">
    <w:abstractNumId w:val="9"/>
  </w:num>
  <w:num w:numId="4" w16cid:durableId="900407601">
    <w:abstractNumId w:val="28"/>
  </w:num>
  <w:num w:numId="5" w16cid:durableId="33429415">
    <w:abstractNumId w:val="7"/>
  </w:num>
  <w:num w:numId="6" w16cid:durableId="342637086">
    <w:abstractNumId w:val="17"/>
  </w:num>
  <w:num w:numId="7" w16cid:durableId="1518353143">
    <w:abstractNumId w:val="1"/>
  </w:num>
  <w:num w:numId="8" w16cid:durableId="132143513">
    <w:abstractNumId w:val="21"/>
  </w:num>
  <w:num w:numId="9" w16cid:durableId="10991326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9409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7841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1350978">
    <w:abstractNumId w:val="2"/>
  </w:num>
  <w:num w:numId="13" w16cid:durableId="13504507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9476244">
    <w:abstractNumId w:val="0"/>
  </w:num>
  <w:num w:numId="15" w16cid:durableId="1200166575">
    <w:abstractNumId w:val="24"/>
  </w:num>
  <w:num w:numId="16" w16cid:durableId="781267788">
    <w:abstractNumId w:val="27"/>
  </w:num>
  <w:num w:numId="17" w16cid:durableId="160391543">
    <w:abstractNumId w:val="15"/>
  </w:num>
  <w:num w:numId="18" w16cid:durableId="1723869059">
    <w:abstractNumId w:val="20"/>
  </w:num>
  <w:num w:numId="19" w16cid:durableId="1000472582">
    <w:abstractNumId w:val="23"/>
  </w:num>
  <w:num w:numId="20" w16cid:durableId="1581795233">
    <w:abstractNumId w:val="10"/>
  </w:num>
  <w:num w:numId="21" w16cid:durableId="637343444">
    <w:abstractNumId w:val="11"/>
  </w:num>
  <w:num w:numId="22" w16cid:durableId="13579365">
    <w:abstractNumId w:val="13"/>
  </w:num>
  <w:num w:numId="23" w16cid:durableId="367686971">
    <w:abstractNumId w:val="26"/>
  </w:num>
  <w:num w:numId="24" w16cid:durableId="1945722979">
    <w:abstractNumId w:val="18"/>
  </w:num>
  <w:num w:numId="25" w16cid:durableId="993993753">
    <w:abstractNumId w:val="3"/>
  </w:num>
  <w:num w:numId="26" w16cid:durableId="852034051">
    <w:abstractNumId w:val="14"/>
  </w:num>
  <w:num w:numId="27" w16cid:durableId="1793329398">
    <w:abstractNumId w:val="8"/>
  </w:num>
  <w:num w:numId="28" w16cid:durableId="1312520582">
    <w:abstractNumId w:val="30"/>
  </w:num>
  <w:num w:numId="29" w16cid:durableId="1704213238">
    <w:abstractNumId w:val="6"/>
  </w:num>
  <w:num w:numId="30" w16cid:durableId="9036368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6192578">
    <w:abstractNumId w:val="16"/>
  </w:num>
  <w:num w:numId="32" w16cid:durableId="2033800240">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841"/>
    <w:rsid w:val="000034E6"/>
    <w:rsid w:val="000057D5"/>
    <w:rsid w:val="00006A48"/>
    <w:rsid w:val="000100B7"/>
    <w:rsid w:val="0001140A"/>
    <w:rsid w:val="000206C8"/>
    <w:rsid w:val="00020A50"/>
    <w:rsid w:val="00025977"/>
    <w:rsid w:val="00031D41"/>
    <w:rsid w:val="00031D49"/>
    <w:rsid w:val="00033F65"/>
    <w:rsid w:val="0003633D"/>
    <w:rsid w:val="00037F63"/>
    <w:rsid w:val="00037F6F"/>
    <w:rsid w:val="00041928"/>
    <w:rsid w:val="000432F0"/>
    <w:rsid w:val="00043977"/>
    <w:rsid w:val="00047BA9"/>
    <w:rsid w:val="00050F3A"/>
    <w:rsid w:val="00051E03"/>
    <w:rsid w:val="0005330B"/>
    <w:rsid w:val="00055F82"/>
    <w:rsid w:val="00065056"/>
    <w:rsid w:val="00066687"/>
    <w:rsid w:val="00066F64"/>
    <w:rsid w:val="00073CC1"/>
    <w:rsid w:val="00073E58"/>
    <w:rsid w:val="00074B21"/>
    <w:rsid w:val="000828B3"/>
    <w:rsid w:val="000831A4"/>
    <w:rsid w:val="000837C4"/>
    <w:rsid w:val="0008397F"/>
    <w:rsid w:val="00083C88"/>
    <w:rsid w:val="000841CE"/>
    <w:rsid w:val="00084517"/>
    <w:rsid w:val="000853C5"/>
    <w:rsid w:val="00086544"/>
    <w:rsid w:val="000909B2"/>
    <w:rsid w:val="000959EA"/>
    <w:rsid w:val="0009625E"/>
    <w:rsid w:val="00097CF0"/>
    <w:rsid w:val="000A1BF4"/>
    <w:rsid w:val="000A3A96"/>
    <w:rsid w:val="000A3B53"/>
    <w:rsid w:val="000A5129"/>
    <w:rsid w:val="000A6C79"/>
    <w:rsid w:val="000A7484"/>
    <w:rsid w:val="000B0DF3"/>
    <w:rsid w:val="000B2DC6"/>
    <w:rsid w:val="000B75B6"/>
    <w:rsid w:val="000B79A9"/>
    <w:rsid w:val="000C62F5"/>
    <w:rsid w:val="000C63DF"/>
    <w:rsid w:val="000C69F1"/>
    <w:rsid w:val="000D0ADC"/>
    <w:rsid w:val="000D521E"/>
    <w:rsid w:val="000E2A4C"/>
    <w:rsid w:val="000E2D41"/>
    <w:rsid w:val="000E44C6"/>
    <w:rsid w:val="000E76C9"/>
    <w:rsid w:val="000F16F9"/>
    <w:rsid w:val="000F2B15"/>
    <w:rsid w:val="000F576A"/>
    <w:rsid w:val="000F6CCF"/>
    <w:rsid w:val="000F703A"/>
    <w:rsid w:val="00100C6A"/>
    <w:rsid w:val="001010BE"/>
    <w:rsid w:val="00104748"/>
    <w:rsid w:val="001048F8"/>
    <w:rsid w:val="00106019"/>
    <w:rsid w:val="00107A35"/>
    <w:rsid w:val="00107EF5"/>
    <w:rsid w:val="001111E2"/>
    <w:rsid w:val="00112C04"/>
    <w:rsid w:val="00114E1E"/>
    <w:rsid w:val="001222DD"/>
    <w:rsid w:val="00125F5B"/>
    <w:rsid w:val="00130A6A"/>
    <w:rsid w:val="00132169"/>
    <w:rsid w:val="0013236E"/>
    <w:rsid w:val="00132F62"/>
    <w:rsid w:val="0013329E"/>
    <w:rsid w:val="001332C3"/>
    <w:rsid w:val="00133D06"/>
    <w:rsid w:val="0013698A"/>
    <w:rsid w:val="001370CA"/>
    <w:rsid w:val="00143FBE"/>
    <w:rsid w:val="00146A78"/>
    <w:rsid w:val="001552BF"/>
    <w:rsid w:val="00155D89"/>
    <w:rsid w:val="0016102A"/>
    <w:rsid w:val="001625F2"/>
    <w:rsid w:val="00165DE9"/>
    <w:rsid w:val="001704C7"/>
    <w:rsid w:val="001733E8"/>
    <w:rsid w:val="00173FE0"/>
    <w:rsid w:val="00177E57"/>
    <w:rsid w:val="00180461"/>
    <w:rsid w:val="00180BE6"/>
    <w:rsid w:val="00184978"/>
    <w:rsid w:val="001864F0"/>
    <w:rsid w:val="0018663D"/>
    <w:rsid w:val="001873B1"/>
    <w:rsid w:val="00191B18"/>
    <w:rsid w:val="00192221"/>
    <w:rsid w:val="001938F8"/>
    <w:rsid w:val="00194303"/>
    <w:rsid w:val="00194798"/>
    <w:rsid w:val="0019489B"/>
    <w:rsid w:val="00194B6C"/>
    <w:rsid w:val="0019568F"/>
    <w:rsid w:val="00196570"/>
    <w:rsid w:val="001A0C99"/>
    <w:rsid w:val="001A3981"/>
    <w:rsid w:val="001A4F42"/>
    <w:rsid w:val="001A5889"/>
    <w:rsid w:val="001B04CC"/>
    <w:rsid w:val="001B1B9F"/>
    <w:rsid w:val="001B38B0"/>
    <w:rsid w:val="001B4A27"/>
    <w:rsid w:val="001B5192"/>
    <w:rsid w:val="001B6E04"/>
    <w:rsid w:val="001B734F"/>
    <w:rsid w:val="001C1500"/>
    <w:rsid w:val="001C5C18"/>
    <w:rsid w:val="001C69FB"/>
    <w:rsid w:val="001C7DBF"/>
    <w:rsid w:val="001D51E5"/>
    <w:rsid w:val="001D561C"/>
    <w:rsid w:val="001D6736"/>
    <w:rsid w:val="001E2A93"/>
    <w:rsid w:val="001E3D2B"/>
    <w:rsid w:val="001E401D"/>
    <w:rsid w:val="001E4824"/>
    <w:rsid w:val="001E609F"/>
    <w:rsid w:val="001F2262"/>
    <w:rsid w:val="001F44A3"/>
    <w:rsid w:val="001F4A59"/>
    <w:rsid w:val="00201967"/>
    <w:rsid w:val="00202DE2"/>
    <w:rsid w:val="002063BF"/>
    <w:rsid w:val="0020651A"/>
    <w:rsid w:val="00206EFA"/>
    <w:rsid w:val="00210302"/>
    <w:rsid w:val="00213434"/>
    <w:rsid w:val="0021707D"/>
    <w:rsid w:val="00230348"/>
    <w:rsid w:val="002309C0"/>
    <w:rsid w:val="00236506"/>
    <w:rsid w:val="00237635"/>
    <w:rsid w:val="0025258E"/>
    <w:rsid w:val="00252601"/>
    <w:rsid w:val="002561C1"/>
    <w:rsid w:val="00260403"/>
    <w:rsid w:val="00263998"/>
    <w:rsid w:val="00267C53"/>
    <w:rsid w:val="002704FD"/>
    <w:rsid w:val="0027443D"/>
    <w:rsid w:val="00274AD9"/>
    <w:rsid w:val="002752C6"/>
    <w:rsid w:val="00276BCD"/>
    <w:rsid w:val="002839A7"/>
    <w:rsid w:val="00285302"/>
    <w:rsid w:val="00293C64"/>
    <w:rsid w:val="002947CF"/>
    <w:rsid w:val="002952F0"/>
    <w:rsid w:val="00296844"/>
    <w:rsid w:val="00297ED7"/>
    <w:rsid w:val="002A4B01"/>
    <w:rsid w:val="002A736B"/>
    <w:rsid w:val="002A7ACE"/>
    <w:rsid w:val="002B00EB"/>
    <w:rsid w:val="002B071D"/>
    <w:rsid w:val="002B1220"/>
    <w:rsid w:val="002B4CBC"/>
    <w:rsid w:val="002C2A98"/>
    <w:rsid w:val="002C2D8A"/>
    <w:rsid w:val="002C5640"/>
    <w:rsid w:val="002D165B"/>
    <w:rsid w:val="002D20C8"/>
    <w:rsid w:val="002D30C5"/>
    <w:rsid w:val="002D4D54"/>
    <w:rsid w:val="002D5485"/>
    <w:rsid w:val="002D5762"/>
    <w:rsid w:val="002D75D0"/>
    <w:rsid w:val="002E0AC1"/>
    <w:rsid w:val="002E1C0F"/>
    <w:rsid w:val="002E33DA"/>
    <w:rsid w:val="002F03D1"/>
    <w:rsid w:val="002F0F40"/>
    <w:rsid w:val="002F15C1"/>
    <w:rsid w:val="002F4BA6"/>
    <w:rsid w:val="00300DA1"/>
    <w:rsid w:val="0030105D"/>
    <w:rsid w:val="00301E0E"/>
    <w:rsid w:val="003035B5"/>
    <w:rsid w:val="0030553B"/>
    <w:rsid w:val="003078C2"/>
    <w:rsid w:val="0031007E"/>
    <w:rsid w:val="00311F82"/>
    <w:rsid w:val="00313748"/>
    <w:rsid w:val="00317E45"/>
    <w:rsid w:val="00321702"/>
    <w:rsid w:val="003240E9"/>
    <w:rsid w:val="003273C8"/>
    <w:rsid w:val="00331507"/>
    <w:rsid w:val="003325FB"/>
    <w:rsid w:val="00333A46"/>
    <w:rsid w:val="00337B46"/>
    <w:rsid w:val="00343994"/>
    <w:rsid w:val="00345DF9"/>
    <w:rsid w:val="003473E3"/>
    <w:rsid w:val="0035035B"/>
    <w:rsid w:val="00350D94"/>
    <w:rsid w:val="00354D94"/>
    <w:rsid w:val="00366B66"/>
    <w:rsid w:val="00367275"/>
    <w:rsid w:val="00373957"/>
    <w:rsid w:val="00390B15"/>
    <w:rsid w:val="00391923"/>
    <w:rsid w:val="003921E3"/>
    <w:rsid w:val="0039348E"/>
    <w:rsid w:val="00394188"/>
    <w:rsid w:val="00395C5B"/>
    <w:rsid w:val="00396BF3"/>
    <w:rsid w:val="003A5AAB"/>
    <w:rsid w:val="003B0E6E"/>
    <w:rsid w:val="003B2812"/>
    <w:rsid w:val="003B41DA"/>
    <w:rsid w:val="003B50B0"/>
    <w:rsid w:val="003C14CE"/>
    <w:rsid w:val="003D04A0"/>
    <w:rsid w:val="003D0573"/>
    <w:rsid w:val="003D1B6F"/>
    <w:rsid w:val="003D2840"/>
    <w:rsid w:val="003D3943"/>
    <w:rsid w:val="003D4FE6"/>
    <w:rsid w:val="003D5C7F"/>
    <w:rsid w:val="003E2E7B"/>
    <w:rsid w:val="003E3B48"/>
    <w:rsid w:val="003E4A2E"/>
    <w:rsid w:val="003E62EF"/>
    <w:rsid w:val="003F13B1"/>
    <w:rsid w:val="003F4326"/>
    <w:rsid w:val="003F4EBD"/>
    <w:rsid w:val="0040491B"/>
    <w:rsid w:val="00406B1F"/>
    <w:rsid w:val="00406EEC"/>
    <w:rsid w:val="004114C9"/>
    <w:rsid w:val="004162BA"/>
    <w:rsid w:val="00420F86"/>
    <w:rsid w:val="0042202B"/>
    <w:rsid w:val="00424C8A"/>
    <w:rsid w:val="00426A91"/>
    <w:rsid w:val="00430315"/>
    <w:rsid w:val="00431C9A"/>
    <w:rsid w:val="00431D1C"/>
    <w:rsid w:val="004336D0"/>
    <w:rsid w:val="00435D45"/>
    <w:rsid w:val="00436E22"/>
    <w:rsid w:val="00446337"/>
    <w:rsid w:val="00450239"/>
    <w:rsid w:val="00450941"/>
    <w:rsid w:val="00450BF1"/>
    <w:rsid w:val="0045124C"/>
    <w:rsid w:val="00453FBA"/>
    <w:rsid w:val="00460190"/>
    <w:rsid w:val="004603DA"/>
    <w:rsid w:val="004624C8"/>
    <w:rsid w:val="00462B21"/>
    <w:rsid w:val="004667E7"/>
    <w:rsid w:val="00476859"/>
    <w:rsid w:val="0048435B"/>
    <w:rsid w:val="00485A6F"/>
    <w:rsid w:val="00487324"/>
    <w:rsid w:val="0049500D"/>
    <w:rsid w:val="004A0AFC"/>
    <w:rsid w:val="004A1154"/>
    <w:rsid w:val="004B49FC"/>
    <w:rsid w:val="004B7E41"/>
    <w:rsid w:val="004C051B"/>
    <w:rsid w:val="004C17AA"/>
    <w:rsid w:val="004C3442"/>
    <w:rsid w:val="004D09B2"/>
    <w:rsid w:val="004D1A84"/>
    <w:rsid w:val="004D7759"/>
    <w:rsid w:val="004D78CD"/>
    <w:rsid w:val="004E15CD"/>
    <w:rsid w:val="004E3042"/>
    <w:rsid w:val="004F2D1D"/>
    <w:rsid w:val="004F33CC"/>
    <w:rsid w:val="004F55DD"/>
    <w:rsid w:val="00502410"/>
    <w:rsid w:val="005026AC"/>
    <w:rsid w:val="00505B02"/>
    <w:rsid w:val="00506A57"/>
    <w:rsid w:val="00510655"/>
    <w:rsid w:val="00512719"/>
    <w:rsid w:val="0051499D"/>
    <w:rsid w:val="00515528"/>
    <w:rsid w:val="00515A42"/>
    <w:rsid w:val="0052330A"/>
    <w:rsid w:val="0052557D"/>
    <w:rsid w:val="0053181E"/>
    <w:rsid w:val="0053678A"/>
    <w:rsid w:val="00537C36"/>
    <w:rsid w:val="0054534B"/>
    <w:rsid w:val="00545AF5"/>
    <w:rsid w:val="00546DAF"/>
    <w:rsid w:val="005504D3"/>
    <w:rsid w:val="005518D2"/>
    <w:rsid w:val="00552385"/>
    <w:rsid w:val="00553595"/>
    <w:rsid w:val="0055431F"/>
    <w:rsid w:val="00555469"/>
    <w:rsid w:val="00557ABD"/>
    <w:rsid w:val="00562240"/>
    <w:rsid w:val="005650DB"/>
    <w:rsid w:val="00570BF3"/>
    <w:rsid w:val="0057155C"/>
    <w:rsid w:val="00573D34"/>
    <w:rsid w:val="00575BB9"/>
    <w:rsid w:val="0057758D"/>
    <w:rsid w:val="00577EDB"/>
    <w:rsid w:val="005810E2"/>
    <w:rsid w:val="00586232"/>
    <w:rsid w:val="00592FF0"/>
    <w:rsid w:val="0059404D"/>
    <w:rsid w:val="00596AD3"/>
    <w:rsid w:val="005A144E"/>
    <w:rsid w:val="005A2872"/>
    <w:rsid w:val="005A32EA"/>
    <w:rsid w:val="005A611F"/>
    <w:rsid w:val="005A62BF"/>
    <w:rsid w:val="005A77CE"/>
    <w:rsid w:val="005B129B"/>
    <w:rsid w:val="005B2639"/>
    <w:rsid w:val="005B2CE4"/>
    <w:rsid w:val="005B36C5"/>
    <w:rsid w:val="005B3C61"/>
    <w:rsid w:val="005B4747"/>
    <w:rsid w:val="005B522D"/>
    <w:rsid w:val="005B5A40"/>
    <w:rsid w:val="005B5B50"/>
    <w:rsid w:val="005B5E38"/>
    <w:rsid w:val="005C1268"/>
    <w:rsid w:val="005C1FEE"/>
    <w:rsid w:val="005C221E"/>
    <w:rsid w:val="005C3818"/>
    <w:rsid w:val="005C4679"/>
    <w:rsid w:val="005C4BD2"/>
    <w:rsid w:val="005C65C6"/>
    <w:rsid w:val="005D1835"/>
    <w:rsid w:val="005D20C2"/>
    <w:rsid w:val="005D4C17"/>
    <w:rsid w:val="005D5278"/>
    <w:rsid w:val="005E17D6"/>
    <w:rsid w:val="005E4D9A"/>
    <w:rsid w:val="005F5340"/>
    <w:rsid w:val="005F7FCC"/>
    <w:rsid w:val="00601EAC"/>
    <w:rsid w:val="00601F30"/>
    <w:rsid w:val="006026DB"/>
    <w:rsid w:val="00605371"/>
    <w:rsid w:val="00607605"/>
    <w:rsid w:val="006101F3"/>
    <w:rsid w:val="006107EA"/>
    <w:rsid w:val="006108BA"/>
    <w:rsid w:val="006146B4"/>
    <w:rsid w:val="0061532D"/>
    <w:rsid w:val="00621CBA"/>
    <w:rsid w:val="00626C76"/>
    <w:rsid w:val="00633C70"/>
    <w:rsid w:val="00634572"/>
    <w:rsid w:val="00643CE4"/>
    <w:rsid w:val="00647292"/>
    <w:rsid w:val="00650E07"/>
    <w:rsid w:val="00654AA5"/>
    <w:rsid w:val="0065784C"/>
    <w:rsid w:val="00657F53"/>
    <w:rsid w:val="006601A7"/>
    <w:rsid w:val="00664769"/>
    <w:rsid w:val="006648F8"/>
    <w:rsid w:val="0066593A"/>
    <w:rsid w:val="0067107C"/>
    <w:rsid w:val="0067382A"/>
    <w:rsid w:val="006742B4"/>
    <w:rsid w:val="006762C6"/>
    <w:rsid w:val="00676B3E"/>
    <w:rsid w:val="00676CDD"/>
    <w:rsid w:val="00677FCC"/>
    <w:rsid w:val="006809EB"/>
    <w:rsid w:val="00680C5B"/>
    <w:rsid w:val="00682FF9"/>
    <w:rsid w:val="00693332"/>
    <w:rsid w:val="00693841"/>
    <w:rsid w:val="006954BA"/>
    <w:rsid w:val="0069560D"/>
    <w:rsid w:val="006958F7"/>
    <w:rsid w:val="00695C9B"/>
    <w:rsid w:val="00696563"/>
    <w:rsid w:val="00697183"/>
    <w:rsid w:val="006A140B"/>
    <w:rsid w:val="006A262A"/>
    <w:rsid w:val="006A280C"/>
    <w:rsid w:val="006A2B97"/>
    <w:rsid w:val="006B3A38"/>
    <w:rsid w:val="006B5ABB"/>
    <w:rsid w:val="006C019F"/>
    <w:rsid w:val="006D1B5E"/>
    <w:rsid w:val="006D4F46"/>
    <w:rsid w:val="006D5C11"/>
    <w:rsid w:val="006E08FF"/>
    <w:rsid w:val="006E52F3"/>
    <w:rsid w:val="006E5369"/>
    <w:rsid w:val="006F3BFC"/>
    <w:rsid w:val="006F5BB5"/>
    <w:rsid w:val="006F63EF"/>
    <w:rsid w:val="006F78A6"/>
    <w:rsid w:val="00706C3A"/>
    <w:rsid w:val="00711467"/>
    <w:rsid w:val="00713F8B"/>
    <w:rsid w:val="007149A1"/>
    <w:rsid w:val="00715262"/>
    <w:rsid w:val="0071799B"/>
    <w:rsid w:val="00721AF7"/>
    <w:rsid w:val="0072272C"/>
    <w:rsid w:val="00727C07"/>
    <w:rsid w:val="00737135"/>
    <w:rsid w:val="0074010D"/>
    <w:rsid w:val="00741466"/>
    <w:rsid w:val="007436E8"/>
    <w:rsid w:val="00743BD5"/>
    <w:rsid w:val="00744909"/>
    <w:rsid w:val="00746C69"/>
    <w:rsid w:val="00750A5D"/>
    <w:rsid w:val="00752B4B"/>
    <w:rsid w:val="0075395B"/>
    <w:rsid w:val="0075728B"/>
    <w:rsid w:val="007640B9"/>
    <w:rsid w:val="00764D7F"/>
    <w:rsid w:val="00770E71"/>
    <w:rsid w:val="00773DAD"/>
    <w:rsid w:val="00777B90"/>
    <w:rsid w:val="00780670"/>
    <w:rsid w:val="00780D16"/>
    <w:rsid w:val="00785E3F"/>
    <w:rsid w:val="00787096"/>
    <w:rsid w:val="00793279"/>
    <w:rsid w:val="00793C03"/>
    <w:rsid w:val="007A1F37"/>
    <w:rsid w:val="007A5B68"/>
    <w:rsid w:val="007B0225"/>
    <w:rsid w:val="007B2173"/>
    <w:rsid w:val="007B260B"/>
    <w:rsid w:val="007B4045"/>
    <w:rsid w:val="007B6387"/>
    <w:rsid w:val="007C29D7"/>
    <w:rsid w:val="007C3243"/>
    <w:rsid w:val="007D1645"/>
    <w:rsid w:val="007D5DFC"/>
    <w:rsid w:val="007D64A2"/>
    <w:rsid w:val="007D764C"/>
    <w:rsid w:val="007E0DB7"/>
    <w:rsid w:val="007E1776"/>
    <w:rsid w:val="007E2308"/>
    <w:rsid w:val="007F0465"/>
    <w:rsid w:val="007F3D57"/>
    <w:rsid w:val="007F7983"/>
    <w:rsid w:val="0080196D"/>
    <w:rsid w:val="00802C78"/>
    <w:rsid w:val="0080342C"/>
    <w:rsid w:val="00805609"/>
    <w:rsid w:val="008073A8"/>
    <w:rsid w:val="0081420B"/>
    <w:rsid w:val="00814E68"/>
    <w:rsid w:val="008164B6"/>
    <w:rsid w:val="0082100E"/>
    <w:rsid w:val="00830A43"/>
    <w:rsid w:val="0083204C"/>
    <w:rsid w:val="0083296C"/>
    <w:rsid w:val="00832A87"/>
    <w:rsid w:val="00840EE0"/>
    <w:rsid w:val="00842A29"/>
    <w:rsid w:val="00843083"/>
    <w:rsid w:val="00845322"/>
    <w:rsid w:val="00850867"/>
    <w:rsid w:val="0085238F"/>
    <w:rsid w:val="00855278"/>
    <w:rsid w:val="008609F0"/>
    <w:rsid w:val="008619E2"/>
    <w:rsid w:val="00864F5C"/>
    <w:rsid w:val="00866787"/>
    <w:rsid w:val="00866FE2"/>
    <w:rsid w:val="008774CE"/>
    <w:rsid w:val="008807F6"/>
    <w:rsid w:val="00886B1B"/>
    <w:rsid w:val="0089168F"/>
    <w:rsid w:val="008917AF"/>
    <w:rsid w:val="00893E4D"/>
    <w:rsid w:val="00894E5C"/>
    <w:rsid w:val="00896BE2"/>
    <w:rsid w:val="00897D7A"/>
    <w:rsid w:val="008A2B9F"/>
    <w:rsid w:val="008A50A7"/>
    <w:rsid w:val="008A72B6"/>
    <w:rsid w:val="008B0C78"/>
    <w:rsid w:val="008B1518"/>
    <w:rsid w:val="008B1756"/>
    <w:rsid w:val="008B3C7F"/>
    <w:rsid w:val="008B6B89"/>
    <w:rsid w:val="008B72FE"/>
    <w:rsid w:val="008B766F"/>
    <w:rsid w:val="008C4A1E"/>
    <w:rsid w:val="008D3F9A"/>
    <w:rsid w:val="008D47DD"/>
    <w:rsid w:val="008D5D23"/>
    <w:rsid w:val="008E15A4"/>
    <w:rsid w:val="008E1B42"/>
    <w:rsid w:val="008E33C3"/>
    <w:rsid w:val="008F1963"/>
    <w:rsid w:val="008F1FBF"/>
    <w:rsid w:val="008F4C13"/>
    <w:rsid w:val="00900BE3"/>
    <w:rsid w:val="00904232"/>
    <w:rsid w:val="0090574C"/>
    <w:rsid w:val="00907FF9"/>
    <w:rsid w:val="009100BA"/>
    <w:rsid w:val="00910507"/>
    <w:rsid w:val="00911122"/>
    <w:rsid w:val="009177CC"/>
    <w:rsid w:val="00920358"/>
    <w:rsid w:val="00931D6C"/>
    <w:rsid w:val="009322B0"/>
    <w:rsid w:val="00932A4C"/>
    <w:rsid w:val="00932F3F"/>
    <w:rsid w:val="009347BB"/>
    <w:rsid w:val="00934847"/>
    <w:rsid w:val="00936D79"/>
    <w:rsid w:val="0093768C"/>
    <w:rsid w:val="0094679D"/>
    <w:rsid w:val="00950562"/>
    <w:rsid w:val="00952559"/>
    <w:rsid w:val="00957D8C"/>
    <w:rsid w:val="0096094A"/>
    <w:rsid w:val="00962381"/>
    <w:rsid w:val="0096477B"/>
    <w:rsid w:val="0096490F"/>
    <w:rsid w:val="009650A4"/>
    <w:rsid w:val="0096588E"/>
    <w:rsid w:val="009700BA"/>
    <w:rsid w:val="0097229B"/>
    <w:rsid w:val="009728E4"/>
    <w:rsid w:val="00973173"/>
    <w:rsid w:val="00974C36"/>
    <w:rsid w:val="009779F8"/>
    <w:rsid w:val="00981780"/>
    <w:rsid w:val="0099347F"/>
    <w:rsid w:val="009957E6"/>
    <w:rsid w:val="00995882"/>
    <w:rsid w:val="009979A3"/>
    <w:rsid w:val="009A0184"/>
    <w:rsid w:val="009A271A"/>
    <w:rsid w:val="009A5878"/>
    <w:rsid w:val="009A5C5E"/>
    <w:rsid w:val="009A78A6"/>
    <w:rsid w:val="009A7D20"/>
    <w:rsid w:val="009B02E8"/>
    <w:rsid w:val="009B2F29"/>
    <w:rsid w:val="009B33D4"/>
    <w:rsid w:val="009B4948"/>
    <w:rsid w:val="009B5AD6"/>
    <w:rsid w:val="009B6AEF"/>
    <w:rsid w:val="009C7196"/>
    <w:rsid w:val="009C7793"/>
    <w:rsid w:val="009D1DAD"/>
    <w:rsid w:val="009E0553"/>
    <w:rsid w:val="009E142C"/>
    <w:rsid w:val="009E504D"/>
    <w:rsid w:val="009E7966"/>
    <w:rsid w:val="009F1FC3"/>
    <w:rsid w:val="009F2ADC"/>
    <w:rsid w:val="009F31D7"/>
    <w:rsid w:val="009F3C09"/>
    <w:rsid w:val="009F6314"/>
    <w:rsid w:val="00A0367F"/>
    <w:rsid w:val="00A04808"/>
    <w:rsid w:val="00A06A21"/>
    <w:rsid w:val="00A10994"/>
    <w:rsid w:val="00A145EC"/>
    <w:rsid w:val="00A15299"/>
    <w:rsid w:val="00A1759B"/>
    <w:rsid w:val="00A17D3B"/>
    <w:rsid w:val="00A211B3"/>
    <w:rsid w:val="00A22F41"/>
    <w:rsid w:val="00A258B6"/>
    <w:rsid w:val="00A30071"/>
    <w:rsid w:val="00A31346"/>
    <w:rsid w:val="00A34A91"/>
    <w:rsid w:val="00A37B7E"/>
    <w:rsid w:val="00A43EB8"/>
    <w:rsid w:val="00A45C23"/>
    <w:rsid w:val="00A47EE5"/>
    <w:rsid w:val="00A5392F"/>
    <w:rsid w:val="00A56BB7"/>
    <w:rsid w:val="00A60C14"/>
    <w:rsid w:val="00A65DE6"/>
    <w:rsid w:val="00A7178F"/>
    <w:rsid w:val="00A72872"/>
    <w:rsid w:val="00A74267"/>
    <w:rsid w:val="00A74522"/>
    <w:rsid w:val="00A75CCD"/>
    <w:rsid w:val="00A836F1"/>
    <w:rsid w:val="00A862BC"/>
    <w:rsid w:val="00A864D7"/>
    <w:rsid w:val="00A87CB1"/>
    <w:rsid w:val="00A94CFA"/>
    <w:rsid w:val="00A97CD2"/>
    <w:rsid w:val="00AA57E8"/>
    <w:rsid w:val="00AA6BBB"/>
    <w:rsid w:val="00AB043C"/>
    <w:rsid w:val="00AB0FB5"/>
    <w:rsid w:val="00AB114F"/>
    <w:rsid w:val="00AB33C1"/>
    <w:rsid w:val="00AB5E35"/>
    <w:rsid w:val="00AB6DBD"/>
    <w:rsid w:val="00AB7682"/>
    <w:rsid w:val="00AC3FC9"/>
    <w:rsid w:val="00AE4A4E"/>
    <w:rsid w:val="00AF1AB8"/>
    <w:rsid w:val="00AF23F6"/>
    <w:rsid w:val="00AF6BEF"/>
    <w:rsid w:val="00B04390"/>
    <w:rsid w:val="00B074CB"/>
    <w:rsid w:val="00B10DBF"/>
    <w:rsid w:val="00B16328"/>
    <w:rsid w:val="00B16EE8"/>
    <w:rsid w:val="00B20051"/>
    <w:rsid w:val="00B26721"/>
    <w:rsid w:val="00B354F3"/>
    <w:rsid w:val="00B40406"/>
    <w:rsid w:val="00B5406A"/>
    <w:rsid w:val="00B55EAA"/>
    <w:rsid w:val="00B57D90"/>
    <w:rsid w:val="00B57F9D"/>
    <w:rsid w:val="00B63C47"/>
    <w:rsid w:val="00B64348"/>
    <w:rsid w:val="00B736A7"/>
    <w:rsid w:val="00B75786"/>
    <w:rsid w:val="00B75E8C"/>
    <w:rsid w:val="00B80708"/>
    <w:rsid w:val="00B829F8"/>
    <w:rsid w:val="00B83427"/>
    <w:rsid w:val="00B83865"/>
    <w:rsid w:val="00B841C6"/>
    <w:rsid w:val="00B84394"/>
    <w:rsid w:val="00B84976"/>
    <w:rsid w:val="00B85BB2"/>
    <w:rsid w:val="00B85F9C"/>
    <w:rsid w:val="00B91BB7"/>
    <w:rsid w:val="00B92C5F"/>
    <w:rsid w:val="00B96832"/>
    <w:rsid w:val="00BA4252"/>
    <w:rsid w:val="00BA5B10"/>
    <w:rsid w:val="00BA7855"/>
    <w:rsid w:val="00BB0679"/>
    <w:rsid w:val="00BB4663"/>
    <w:rsid w:val="00BB53A1"/>
    <w:rsid w:val="00BB683F"/>
    <w:rsid w:val="00BC20CB"/>
    <w:rsid w:val="00BC3106"/>
    <w:rsid w:val="00BC4B0C"/>
    <w:rsid w:val="00BC4C92"/>
    <w:rsid w:val="00BC7EDE"/>
    <w:rsid w:val="00BD67E9"/>
    <w:rsid w:val="00BD744F"/>
    <w:rsid w:val="00BE7C40"/>
    <w:rsid w:val="00BF52C3"/>
    <w:rsid w:val="00BF6B5C"/>
    <w:rsid w:val="00BF7441"/>
    <w:rsid w:val="00C0084E"/>
    <w:rsid w:val="00C03CB3"/>
    <w:rsid w:val="00C0488F"/>
    <w:rsid w:val="00C07D3E"/>
    <w:rsid w:val="00C135D9"/>
    <w:rsid w:val="00C15D02"/>
    <w:rsid w:val="00C177E3"/>
    <w:rsid w:val="00C20508"/>
    <w:rsid w:val="00C26CA1"/>
    <w:rsid w:val="00C312EF"/>
    <w:rsid w:val="00C323C1"/>
    <w:rsid w:val="00C328C3"/>
    <w:rsid w:val="00C33760"/>
    <w:rsid w:val="00C353A2"/>
    <w:rsid w:val="00C366FC"/>
    <w:rsid w:val="00C37A2F"/>
    <w:rsid w:val="00C4378B"/>
    <w:rsid w:val="00C43A85"/>
    <w:rsid w:val="00C56292"/>
    <w:rsid w:val="00C64601"/>
    <w:rsid w:val="00C66E5A"/>
    <w:rsid w:val="00C67BA8"/>
    <w:rsid w:val="00C7260E"/>
    <w:rsid w:val="00C7448C"/>
    <w:rsid w:val="00C76DDF"/>
    <w:rsid w:val="00C77A8C"/>
    <w:rsid w:val="00C90A4B"/>
    <w:rsid w:val="00C920A4"/>
    <w:rsid w:val="00C93278"/>
    <w:rsid w:val="00C95346"/>
    <w:rsid w:val="00C95DE1"/>
    <w:rsid w:val="00C9644E"/>
    <w:rsid w:val="00C97470"/>
    <w:rsid w:val="00CA12FC"/>
    <w:rsid w:val="00CA208A"/>
    <w:rsid w:val="00CA2841"/>
    <w:rsid w:val="00CA3496"/>
    <w:rsid w:val="00CA5684"/>
    <w:rsid w:val="00CA67C4"/>
    <w:rsid w:val="00CB225F"/>
    <w:rsid w:val="00CB4167"/>
    <w:rsid w:val="00CB529C"/>
    <w:rsid w:val="00CB61FF"/>
    <w:rsid w:val="00CB71FA"/>
    <w:rsid w:val="00CC2DAA"/>
    <w:rsid w:val="00CC33AD"/>
    <w:rsid w:val="00CC40C1"/>
    <w:rsid w:val="00CD1A5F"/>
    <w:rsid w:val="00CD2E8F"/>
    <w:rsid w:val="00CD3075"/>
    <w:rsid w:val="00CD40AF"/>
    <w:rsid w:val="00CD4436"/>
    <w:rsid w:val="00CE1D6D"/>
    <w:rsid w:val="00CE2D61"/>
    <w:rsid w:val="00CE326D"/>
    <w:rsid w:val="00CE4796"/>
    <w:rsid w:val="00CF43CA"/>
    <w:rsid w:val="00CF59CB"/>
    <w:rsid w:val="00CF725D"/>
    <w:rsid w:val="00CF72A6"/>
    <w:rsid w:val="00D0192D"/>
    <w:rsid w:val="00D053B8"/>
    <w:rsid w:val="00D11C66"/>
    <w:rsid w:val="00D11D53"/>
    <w:rsid w:val="00D12C93"/>
    <w:rsid w:val="00D150F0"/>
    <w:rsid w:val="00D1577C"/>
    <w:rsid w:val="00D166D2"/>
    <w:rsid w:val="00D175E4"/>
    <w:rsid w:val="00D2218F"/>
    <w:rsid w:val="00D23041"/>
    <w:rsid w:val="00D251DB"/>
    <w:rsid w:val="00D25917"/>
    <w:rsid w:val="00D2672C"/>
    <w:rsid w:val="00D307FA"/>
    <w:rsid w:val="00D31758"/>
    <w:rsid w:val="00D34F23"/>
    <w:rsid w:val="00D35962"/>
    <w:rsid w:val="00D379CE"/>
    <w:rsid w:val="00D4047F"/>
    <w:rsid w:val="00D45712"/>
    <w:rsid w:val="00D45D14"/>
    <w:rsid w:val="00D52B67"/>
    <w:rsid w:val="00D5725B"/>
    <w:rsid w:val="00D5733D"/>
    <w:rsid w:val="00D65B3F"/>
    <w:rsid w:val="00D702C0"/>
    <w:rsid w:val="00D703FB"/>
    <w:rsid w:val="00D70F3A"/>
    <w:rsid w:val="00D71E77"/>
    <w:rsid w:val="00D73A1C"/>
    <w:rsid w:val="00D751AD"/>
    <w:rsid w:val="00D76FE7"/>
    <w:rsid w:val="00D77B31"/>
    <w:rsid w:val="00D77D20"/>
    <w:rsid w:val="00D80319"/>
    <w:rsid w:val="00D9099F"/>
    <w:rsid w:val="00D92C90"/>
    <w:rsid w:val="00D9416D"/>
    <w:rsid w:val="00D95F66"/>
    <w:rsid w:val="00D9654F"/>
    <w:rsid w:val="00DA270B"/>
    <w:rsid w:val="00DA5099"/>
    <w:rsid w:val="00DA5CC6"/>
    <w:rsid w:val="00DB099A"/>
    <w:rsid w:val="00DB4E9F"/>
    <w:rsid w:val="00DB7707"/>
    <w:rsid w:val="00DC3286"/>
    <w:rsid w:val="00DC40AA"/>
    <w:rsid w:val="00DC4AB5"/>
    <w:rsid w:val="00DC5E11"/>
    <w:rsid w:val="00DD0C4B"/>
    <w:rsid w:val="00DD16EA"/>
    <w:rsid w:val="00DE3889"/>
    <w:rsid w:val="00DE3FA5"/>
    <w:rsid w:val="00DE5A1F"/>
    <w:rsid w:val="00DE5EDF"/>
    <w:rsid w:val="00DE7804"/>
    <w:rsid w:val="00DF590D"/>
    <w:rsid w:val="00DF78E0"/>
    <w:rsid w:val="00E00453"/>
    <w:rsid w:val="00E0110C"/>
    <w:rsid w:val="00E0296B"/>
    <w:rsid w:val="00E02B1C"/>
    <w:rsid w:val="00E02CD4"/>
    <w:rsid w:val="00E04B15"/>
    <w:rsid w:val="00E12427"/>
    <w:rsid w:val="00E13496"/>
    <w:rsid w:val="00E16544"/>
    <w:rsid w:val="00E16E90"/>
    <w:rsid w:val="00E17BC9"/>
    <w:rsid w:val="00E23C5E"/>
    <w:rsid w:val="00E27452"/>
    <w:rsid w:val="00E302F9"/>
    <w:rsid w:val="00E3674E"/>
    <w:rsid w:val="00E40E3D"/>
    <w:rsid w:val="00E454A1"/>
    <w:rsid w:val="00E45EF4"/>
    <w:rsid w:val="00E50664"/>
    <w:rsid w:val="00E51D85"/>
    <w:rsid w:val="00E52E0D"/>
    <w:rsid w:val="00E617C6"/>
    <w:rsid w:val="00E622EA"/>
    <w:rsid w:val="00E62A26"/>
    <w:rsid w:val="00E62EC1"/>
    <w:rsid w:val="00E63226"/>
    <w:rsid w:val="00E63361"/>
    <w:rsid w:val="00E63F8C"/>
    <w:rsid w:val="00E64CC3"/>
    <w:rsid w:val="00E7330B"/>
    <w:rsid w:val="00E7337E"/>
    <w:rsid w:val="00E74624"/>
    <w:rsid w:val="00E803F1"/>
    <w:rsid w:val="00E811F5"/>
    <w:rsid w:val="00E815EE"/>
    <w:rsid w:val="00E9431E"/>
    <w:rsid w:val="00EA0793"/>
    <w:rsid w:val="00EA08A3"/>
    <w:rsid w:val="00EA0BB0"/>
    <w:rsid w:val="00EA1594"/>
    <w:rsid w:val="00EA185A"/>
    <w:rsid w:val="00EA4BE8"/>
    <w:rsid w:val="00EA66B4"/>
    <w:rsid w:val="00EA7EBE"/>
    <w:rsid w:val="00EB16A7"/>
    <w:rsid w:val="00EB3178"/>
    <w:rsid w:val="00EB31B4"/>
    <w:rsid w:val="00EB3566"/>
    <w:rsid w:val="00EB44DB"/>
    <w:rsid w:val="00EC0BB0"/>
    <w:rsid w:val="00EC4C43"/>
    <w:rsid w:val="00EC51C5"/>
    <w:rsid w:val="00EC5F0C"/>
    <w:rsid w:val="00EC6EC7"/>
    <w:rsid w:val="00ED0A3A"/>
    <w:rsid w:val="00ED2403"/>
    <w:rsid w:val="00ED4DD6"/>
    <w:rsid w:val="00ED6604"/>
    <w:rsid w:val="00ED6F62"/>
    <w:rsid w:val="00EE2884"/>
    <w:rsid w:val="00EE35F2"/>
    <w:rsid w:val="00EE385D"/>
    <w:rsid w:val="00EE6DC0"/>
    <w:rsid w:val="00EE7EB9"/>
    <w:rsid w:val="00EF494C"/>
    <w:rsid w:val="00EF587E"/>
    <w:rsid w:val="00EF5D80"/>
    <w:rsid w:val="00F001BF"/>
    <w:rsid w:val="00F02030"/>
    <w:rsid w:val="00F030B5"/>
    <w:rsid w:val="00F04685"/>
    <w:rsid w:val="00F1097A"/>
    <w:rsid w:val="00F10DA0"/>
    <w:rsid w:val="00F10E03"/>
    <w:rsid w:val="00F15ECE"/>
    <w:rsid w:val="00F21307"/>
    <w:rsid w:val="00F22AE1"/>
    <w:rsid w:val="00F248DF"/>
    <w:rsid w:val="00F259C6"/>
    <w:rsid w:val="00F30E08"/>
    <w:rsid w:val="00F310B0"/>
    <w:rsid w:val="00F42A72"/>
    <w:rsid w:val="00F46166"/>
    <w:rsid w:val="00F515D6"/>
    <w:rsid w:val="00F51A21"/>
    <w:rsid w:val="00F52F52"/>
    <w:rsid w:val="00F54771"/>
    <w:rsid w:val="00F561B9"/>
    <w:rsid w:val="00F57DD1"/>
    <w:rsid w:val="00F61596"/>
    <w:rsid w:val="00F7050B"/>
    <w:rsid w:val="00F71122"/>
    <w:rsid w:val="00F74C19"/>
    <w:rsid w:val="00F75F3B"/>
    <w:rsid w:val="00F77B98"/>
    <w:rsid w:val="00F80D0C"/>
    <w:rsid w:val="00F82BCF"/>
    <w:rsid w:val="00F845CE"/>
    <w:rsid w:val="00F846E0"/>
    <w:rsid w:val="00F84A9C"/>
    <w:rsid w:val="00F86852"/>
    <w:rsid w:val="00F90024"/>
    <w:rsid w:val="00F903B8"/>
    <w:rsid w:val="00F90C7B"/>
    <w:rsid w:val="00F9267F"/>
    <w:rsid w:val="00F92E0D"/>
    <w:rsid w:val="00F92FC1"/>
    <w:rsid w:val="00F94CA6"/>
    <w:rsid w:val="00F96AE6"/>
    <w:rsid w:val="00F96EBD"/>
    <w:rsid w:val="00F9769C"/>
    <w:rsid w:val="00FA0702"/>
    <w:rsid w:val="00FA136C"/>
    <w:rsid w:val="00FA6A0C"/>
    <w:rsid w:val="00FA7BC6"/>
    <w:rsid w:val="00FB0596"/>
    <w:rsid w:val="00FB5A1C"/>
    <w:rsid w:val="00FB7D00"/>
    <w:rsid w:val="00FC0FBB"/>
    <w:rsid w:val="00FC1CDF"/>
    <w:rsid w:val="00FC38C7"/>
    <w:rsid w:val="00FC4BF9"/>
    <w:rsid w:val="00FC71AF"/>
    <w:rsid w:val="00FD08C2"/>
    <w:rsid w:val="00FD1216"/>
    <w:rsid w:val="00FD58FA"/>
    <w:rsid w:val="00FD7447"/>
    <w:rsid w:val="00FE269E"/>
    <w:rsid w:val="00FF0536"/>
    <w:rsid w:val="00FF315B"/>
    <w:rsid w:val="00FF4A53"/>
    <w:rsid w:val="00FF62E6"/>
    <w:rsid w:val="00FF71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43F60"/>
  <w15:chartTrackingRefBased/>
  <w15:docId w15:val="{6BE2EF6E-7A57-45BA-8729-04A92DBE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4C19"/>
  </w:style>
  <w:style w:type="paragraph" w:styleId="Nagwek1">
    <w:name w:val="heading 1"/>
    <w:basedOn w:val="Normalny"/>
    <w:link w:val="Nagwek1Znak"/>
    <w:uiPriority w:val="9"/>
    <w:qFormat/>
    <w:rsid w:val="006F78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CA284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2841"/>
    <w:rPr>
      <w:sz w:val="20"/>
      <w:szCs w:val="20"/>
    </w:rPr>
  </w:style>
  <w:style w:type="character" w:styleId="Odwoanieprzypisudolnego">
    <w:name w:val="footnote reference"/>
    <w:aliases w:val="OZNAKA OPOMBE,FZ,number,SUPERS,Footnote Reference Superscript,BVI fnr,Footnote symbol,Footnote,(Footnote Reference),Footnote reference number,note TESI,EN Footnote Reference,Voetnootverwijzing,Times 10 Point,Exposant 3 Point"/>
    <w:basedOn w:val="Domylnaczcionkaakapitu"/>
    <w:uiPriority w:val="99"/>
    <w:semiHidden/>
    <w:unhideWhenUsed/>
    <w:rsid w:val="00CA2841"/>
    <w:rPr>
      <w:vertAlign w:val="superscript"/>
    </w:rPr>
  </w:style>
  <w:style w:type="table" w:styleId="Tabela-Siatka">
    <w:name w:val="Table Grid"/>
    <w:basedOn w:val="Standardowy"/>
    <w:uiPriority w:val="39"/>
    <w:rsid w:val="00CA2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4F2D1D"/>
    <w:rPr>
      <w:sz w:val="16"/>
      <w:szCs w:val="16"/>
    </w:rPr>
  </w:style>
  <w:style w:type="paragraph" w:styleId="Tekstkomentarza">
    <w:name w:val="annotation text"/>
    <w:basedOn w:val="Normalny"/>
    <w:link w:val="TekstkomentarzaZnak"/>
    <w:uiPriority w:val="99"/>
    <w:unhideWhenUsed/>
    <w:rsid w:val="004F2D1D"/>
    <w:pPr>
      <w:spacing w:line="240" w:lineRule="auto"/>
    </w:pPr>
    <w:rPr>
      <w:sz w:val="20"/>
      <w:szCs w:val="20"/>
    </w:rPr>
  </w:style>
  <w:style w:type="character" w:customStyle="1" w:styleId="TekstkomentarzaZnak">
    <w:name w:val="Tekst komentarza Znak"/>
    <w:basedOn w:val="Domylnaczcionkaakapitu"/>
    <w:link w:val="Tekstkomentarza"/>
    <w:uiPriority w:val="99"/>
    <w:rsid w:val="004F2D1D"/>
    <w:rPr>
      <w:sz w:val="20"/>
      <w:szCs w:val="20"/>
    </w:rPr>
  </w:style>
  <w:style w:type="paragraph" w:styleId="Tematkomentarza">
    <w:name w:val="annotation subject"/>
    <w:basedOn w:val="Tekstkomentarza"/>
    <w:next w:val="Tekstkomentarza"/>
    <w:link w:val="TematkomentarzaZnak"/>
    <w:uiPriority w:val="99"/>
    <w:semiHidden/>
    <w:unhideWhenUsed/>
    <w:rsid w:val="004F2D1D"/>
    <w:rPr>
      <w:b/>
      <w:bCs/>
    </w:rPr>
  </w:style>
  <w:style w:type="character" w:customStyle="1" w:styleId="TematkomentarzaZnak">
    <w:name w:val="Temat komentarza Znak"/>
    <w:basedOn w:val="TekstkomentarzaZnak"/>
    <w:link w:val="Tematkomentarza"/>
    <w:uiPriority w:val="99"/>
    <w:semiHidden/>
    <w:rsid w:val="004F2D1D"/>
    <w:rPr>
      <w:b/>
      <w:bCs/>
      <w:sz w:val="20"/>
      <w:szCs w:val="20"/>
    </w:rPr>
  </w:style>
  <w:style w:type="paragraph" w:styleId="Akapitzlist">
    <w:name w:val="List Paragraph"/>
    <w:aliases w:val="2,Akapit z list¹1,Bullet 1,Indicator Text,Kolorowa lista — akcent 11,List Paragraph Char Char Char,List Paragraph à moi,List Paragraph11,Listaszerű bekezdés1,No Spacing1,Numbered Para 1,Numerowanie,Preambuła,Recommendation,Tytuły,lp1,Dot "/>
    <w:basedOn w:val="Normalny"/>
    <w:link w:val="AkapitzlistZnak"/>
    <w:qFormat/>
    <w:rsid w:val="00155D89"/>
    <w:pPr>
      <w:spacing w:line="278" w:lineRule="auto"/>
      <w:ind w:left="720"/>
      <w:contextualSpacing/>
    </w:pPr>
    <w:rPr>
      <w:kern w:val="2"/>
      <w:sz w:val="24"/>
      <w:szCs w:val="24"/>
      <w14:ligatures w14:val="standardContextual"/>
    </w:rPr>
  </w:style>
  <w:style w:type="paragraph" w:customStyle="1" w:styleId="TekstpismaMF">
    <w:name w:val="Tekst pisma MF"/>
    <w:qFormat/>
    <w:rsid w:val="00B84976"/>
    <w:pPr>
      <w:spacing w:before="240" w:after="0" w:line="260" w:lineRule="exact"/>
      <w:contextualSpacing/>
    </w:pPr>
    <w:rPr>
      <w:rFonts w:ascii="Lato" w:hAnsi="Lato"/>
    </w:rPr>
  </w:style>
  <w:style w:type="character" w:customStyle="1" w:styleId="AkapitzlistZnak">
    <w:name w:val="Akapit z listą Znak"/>
    <w:aliases w:val="2 Znak,Akapit z list¹1 Znak,Bullet 1 Znak,Indicator Text Znak,Kolorowa lista — akcent 11 Znak,List Paragraph Char Char Char Znak,List Paragraph à moi Znak,List Paragraph11 Znak,Listaszerű bekezdés1 Znak,No Spacing1 Znak,Tytuły Znak"/>
    <w:link w:val="Akapitzlist"/>
    <w:qFormat/>
    <w:rsid w:val="00B84976"/>
    <w:rPr>
      <w:kern w:val="2"/>
      <w:sz w:val="24"/>
      <w:szCs w:val="24"/>
      <w14:ligatures w14:val="standardContextual"/>
    </w:rPr>
  </w:style>
  <w:style w:type="character" w:customStyle="1" w:styleId="Teksttreci2">
    <w:name w:val="Tekst treści (2)_"/>
    <w:basedOn w:val="Domylnaczcionkaakapitu"/>
    <w:rsid w:val="004336D0"/>
    <w:rPr>
      <w:rFonts w:ascii="Times New Roman" w:eastAsia="Times New Roman" w:hAnsi="Times New Roman" w:cs="Times New Roman"/>
      <w:b w:val="0"/>
      <w:bCs w:val="0"/>
      <w:i w:val="0"/>
      <w:iCs w:val="0"/>
      <w:smallCaps w:val="0"/>
      <w:strike w:val="0"/>
      <w:u w:val="none"/>
    </w:rPr>
  </w:style>
  <w:style w:type="character" w:customStyle="1" w:styleId="Teksttreci20">
    <w:name w:val="Tekst treści (2)"/>
    <w:basedOn w:val="Teksttreci2"/>
    <w:rsid w:val="004336D0"/>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pl-PL" w:eastAsia="pl-PL" w:bidi="pl-PL"/>
    </w:rPr>
  </w:style>
  <w:style w:type="character" w:styleId="Hipercze">
    <w:name w:val="Hyperlink"/>
    <w:basedOn w:val="Domylnaczcionkaakapitu"/>
    <w:rsid w:val="000F6CCF"/>
    <w:rPr>
      <w:color w:val="0066CC"/>
      <w:u w:val="single"/>
    </w:rPr>
  </w:style>
  <w:style w:type="character" w:customStyle="1" w:styleId="Teksttreci2Kursywa">
    <w:name w:val="Tekst treści (2) + Kursywa"/>
    <w:basedOn w:val="Teksttreci2"/>
    <w:rsid w:val="009F31D7"/>
    <w:rPr>
      <w:rFonts w:ascii="Times New Roman" w:eastAsia="Times New Roman" w:hAnsi="Times New Roman" w:cs="Times New Roman"/>
      <w:b w:val="0"/>
      <w:bCs w:val="0"/>
      <w:i/>
      <w:iCs/>
      <w:smallCaps w:val="0"/>
      <w:strike w:val="0"/>
      <w:color w:val="000000"/>
      <w:spacing w:val="0"/>
      <w:w w:val="100"/>
      <w:position w:val="0"/>
      <w:sz w:val="24"/>
      <w:szCs w:val="24"/>
      <w:u w:val="none"/>
      <w:lang w:val="pl-PL" w:eastAsia="pl-PL" w:bidi="pl-PL"/>
    </w:rPr>
  </w:style>
  <w:style w:type="paragraph" w:styleId="Nagwek">
    <w:name w:val="header"/>
    <w:basedOn w:val="Normalny"/>
    <w:link w:val="NagwekZnak"/>
    <w:uiPriority w:val="99"/>
    <w:unhideWhenUsed/>
    <w:rsid w:val="009934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347F"/>
  </w:style>
  <w:style w:type="paragraph" w:styleId="Stopka">
    <w:name w:val="footer"/>
    <w:basedOn w:val="Normalny"/>
    <w:link w:val="StopkaZnak"/>
    <w:uiPriority w:val="99"/>
    <w:unhideWhenUsed/>
    <w:rsid w:val="009934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347F"/>
  </w:style>
  <w:style w:type="paragraph" w:customStyle="1" w:styleId="ZPKTzmpktartykuempunktem">
    <w:name w:val="Z/PKT – zm. pkt artykułem (punktem)"/>
    <w:basedOn w:val="Normalny"/>
    <w:uiPriority w:val="31"/>
    <w:qFormat/>
    <w:rsid w:val="007149A1"/>
    <w:pPr>
      <w:spacing w:after="0" w:line="360" w:lineRule="auto"/>
      <w:ind w:left="1020" w:hanging="510"/>
      <w:jc w:val="both"/>
    </w:pPr>
    <w:rPr>
      <w:rFonts w:ascii="Times" w:eastAsiaTheme="minorEastAsia" w:hAnsi="Times" w:cs="Arial"/>
      <w:bCs/>
      <w:sz w:val="24"/>
      <w:szCs w:val="20"/>
      <w:lang w:eastAsia="pl-PL"/>
    </w:rPr>
  </w:style>
  <w:style w:type="character" w:customStyle="1" w:styleId="Nagwek1Znak">
    <w:name w:val="Nagłówek 1 Znak"/>
    <w:basedOn w:val="Domylnaczcionkaakapitu"/>
    <w:link w:val="Nagwek1"/>
    <w:uiPriority w:val="9"/>
    <w:rsid w:val="006F78A6"/>
    <w:rPr>
      <w:rFonts w:ascii="Times New Roman" w:eastAsia="Times New Roman" w:hAnsi="Times New Roman" w:cs="Times New Roman"/>
      <w:b/>
      <w:bCs/>
      <w:kern w:val="36"/>
      <w:sz w:val="48"/>
      <w:szCs w:val="48"/>
      <w:lang w:eastAsia="pl-PL"/>
    </w:rPr>
  </w:style>
  <w:style w:type="paragraph" w:customStyle="1" w:styleId="mainpub">
    <w:name w:val="mainpub"/>
    <w:basedOn w:val="Normalny"/>
    <w:rsid w:val="006F78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19479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94798"/>
    <w:rPr>
      <w:sz w:val="20"/>
      <w:szCs w:val="20"/>
    </w:rPr>
  </w:style>
  <w:style w:type="character" w:styleId="Odwoanieprzypisukocowego">
    <w:name w:val="endnote reference"/>
    <w:basedOn w:val="Domylnaczcionkaakapitu"/>
    <w:uiPriority w:val="99"/>
    <w:semiHidden/>
    <w:unhideWhenUsed/>
    <w:rsid w:val="00194798"/>
    <w:rPr>
      <w:vertAlign w:val="superscript"/>
    </w:rPr>
  </w:style>
  <w:style w:type="paragraph" w:styleId="Tekstdymka">
    <w:name w:val="Balloon Text"/>
    <w:basedOn w:val="Normalny"/>
    <w:link w:val="TekstdymkaZnak"/>
    <w:uiPriority w:val="99"/>
    <w:semiHidden/>
    <w:unhideWhenUsed/>
    <w:rsid w:val="0019479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94798"/>
    <w:rPr>
      <w:rFonts w:ascii="Segoe UI" w:hAnsi="Segoe UI" w:cs="Segoe UI"/>
      <w:sz w:val="18"/>
      <w:szCs w:val="18"/>
    </w:rPr>
  </w:style>
  <w:style w:type="paragraph" w:customStyle="1" w:styleId="ZLITUSTzmustliter">
    <w:name w:val="Z_LIT/UST(§) – zm. ust. (§) literą"/>
    <w:basedOn w:val="Normalny"/>
    <w:uiPriority w:val="46"/>
    <w:qFormat/>
    <w:rsid w:val="00F92FC1"/>
    <w:pPr>
      <w:suppressAutoHyphens/>
      <w:autoSpaceDE w:val="0"/>
      <w:autoSpaceDN w:val="0"/>
      <w:adjustRightInd w:val="0"/>
      <w:spacing w:after="0" w:line="360" w:lineRule="auto"/>
      <w:ind w:left="987" w:firstLine="510"/>
      <w:jc w:val="both"/>
    </w:pPr>
    <w:rPr>
      <w:rFonts w:ascii="Times" w:eastAsiaTheme="minorEastAsia" w:hAnsi="Times" w:cs="Arial"/>
      <w:bCs/>
      <w:sz w:val="24"/>
      <w:szCs w:val="20"/>
      <w:lang w:eastAsia="pl-PL"/>
    </w:rPr>
  </w:style>
  <w:style w:type="paragraph" w:customStyle="1" w:styleId="ZUSTzmustartykuempunktem">
    <w:name w:val="Z/UST(§) – zm. ust. (§) artykułem (punktem)"/>
    <w:basedOn w:val="Normalny"/>
    <w:uiPriority w:val="30"/>
    <w:qFormat/>
    <w:rsid w:val="00D80319"/>
    <w:pPr>
      <w:suppressAutoHyphens/>
      <w:autoSpaceDE w:val="0"/>
      <w:autoSpaceDN w:val="0"/>
      <w:adjustRightInd w:val="0"/>
      <w:spacing w:after="0" w:line="360" w:lineRule="auto"/>
      <w:ind w:left="510" w:firstLine="510"/>
      <w:jc w:val="both"/>
    </w:pPr>
    <w:rPr>
      <w:rFonts w:ascii="Times" w:eastAsiaTheme="minorEastAsia" w:hAnsi="Times" w:cs="Arial"/>
      <w:sz w:val="24"/>
      <w:szCs w:val="20"/>
      <w:lang w:eastAsia="pl-PL"/>
    </w:rPr>
  </w:style>
  <w:style w:type="paragraph" w:customStyle="1" w:styleId="PKTpunkt">
    <w:name w:val="PKT – punkt"/>
    <w:uiPriority w:val="13"/>
    <w:qFormat/>
    <w:rsid w:val="00D23041"/>
    <w:pPr>
      <w:spacing w:after="0" w:line="360" w:lineRule="auto"/>
      <w:ind w:left="510" w:hanging="510"/>
      <w:jc w:val="both"/>
    </w:pPr>
    <w:rPr>
      <w:rFonts w:ascii="Times" w:eastAsiaTheme="minorEastAsia" w:hAnsi="Times" w:cs="Arial"/>
      <w:bCs/>
      <w:sz w:val="24"/>
      <w:szCs w:val="20"/>
      <w:lang w:eastAsia="pl-PL"/>
    </w:rPr>
  </w:style>
  <w:style w:type="paragraph" w:customStyle="1" w:styleId="ARTartustawynprozporzdzenia">
    <w:name w:val="ART(§) – art. ustawy (§ np. rozporządzenia)"/>
    <w:uiPriority w:val="11"/>
    <w:qFormat/>
    <w:rsid w:val="00420F86"/>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paragraph" w:customStyle="1" w:styleId="Default">
    <w:name w:val="Default"/>
    <w:basedOn w:val="Normalny"/>
    <w:rsid w:val="00D45712"/>
    <w:pPr>
      <w:autoSpaceDE w:val="0"/>
      <w:autoSpaceDN w:val="0"/>
      <w:spacing w:after="0" w:line="240" w:lineRule="auto"/>
    </w:pPr>
    <w:rPr>
      <w:rFonts w:ascii="Times New Roman" w:eastAsia="Times New Roman" w:hAnsi="Times New Roman" w:cs="Times New Roman"/>
      <w:color w:val="000000"/>
      <w:sz w:val="24"/>
      <w:szCs w:val="24"/>
      <w:lang w:eastAsia="pl-PL"/>
    </w:rPr>
  </w:style>
  <w:style w:type="paragraph" w:customStyle="1" w:styleId="TIRtiret">
    <w:name w:val="TIR – tiret"/>
    <w:basedOn w:val="Normalny"/>
    <w:uiPriority w:val="15"/>
    <w:qFormat/>
    <w:rsid w:val="001111E2"/>
    <w:pPr>
      <w:spacing w:after="0" w:line="360" w:lineRule="auto"/>
      <w:ind w:left="1384" w:hanging="397"/>
      <w:jc w:val="both"/>
    </w:pPr>
    <w:rPr>
      <w:rFonts w:ascii="Times" w:eastAsiaTheme="minorEastAsia" w:hAnsi="Times" w:cs="Arial"/>
      <w:bCs/>
      <w:sz w:val="24"/>
      <w:szCs w:val="20"/>
      <w:lang w:eastAsia="pl-PL"/>
    </w:rPr>
  </w:style>
  <w:style w:type="paragraph" w:customStyle="1" w:styleId="ZTIRPKTzmpkttiret">
    <w:name w:val="Z_TIR/PKT – zm. pkt tiret"/>
    <w:basedOn w:val="PKTpunkt"/>
    <w:uiPriority w:val="56"/>
    <w:qFormat/>
    <w:rsid w:val="001111E2"/>
    <w:pPr>
      <w:ind w:left="1893"/>
    </w:pPr>
  </w:style>
  <w:style w:type="paragraph" w:customStyle="1" w:styleId="ZARTzmartartykuempunktem">
    <w:name w:val="Z/ART(§) – zm. art. (§) artykułem (punktem)"/>
    <w:basedOn w:val="ARTartustawynprozporzdzenia"/>
    <w:uiPriority w:val="30"/>
    <w:qFormat/>
    <w:rsid w:val="00A0367F"/>
    <w:pPr>
      <w:spacing w:before="0"/>
      <w:ind w:left="510"/>
    </w:pPr>
  </w:style>
  <w:style w:type="paragraph" w:customStyle="1" w:styleId="USTustnpkodeksu">
    <w:name w:val="UST(§) – ust. (§ np. kodeksu)"/>
    <w:basedOn w:val="Normalny"/>
    <w:uiPriority w:val="12"/>
    <w:qFormat/>
    <w:rsid w:val="006108BA"/>
    <w:pPr>
      <w:autoSpaceDE w:val="0"/>
      <w:autoSpaceDN w:val="0"/>
      <w:spacing w:after="0" w:line="360" w:lineRule="auto"/>
      <w:ind w:firstLine="510"/>
      <w:jc w:val="both"/>
    </w:pPr>
    <w:rPr>
      <w:rFonts w:ascii="Times" w:hAnsi="Times" w:cs="Calibri"/>
      <w:sz w:val="24"/>
      <w:szCs w:val="24"/>
      <w:lang w:eastAsia="pl-PL"/>
    </w:rPr>
  </w:style>
  <w:style w:type="paragraph" w:customStyle="1" w:styleId="ZLITwPKTzmlitwpktartykuempunktem">
    <w:name w:val="Z/LIT_w_PKT – zm. lit. w pkt artykułem (punktem)"/>
    <w:basedOn w:val="Normalny"/>
    <w:uiPriority w:val="32"/>
    <w:qFormat/>
    <w:rsid w:val="00BF52C3"/>
    <w:pPr>
      <w:spacing w:after="0" w:line="360" w:lineRule="auto"/>
      <w:ind w:left="1497" w:hanging="476"/>
      <w:jc w:val="both"/>
    </w:pPr>
    <w:rPr>
      <w:rFonts w:ascii="Times" w:eastAsiaTheme="minorEastAsia" w:hAnsi="Times" w:cs="Arial"/>
      <w:bCs/>
      <w:sz w:val="24"/>
      <w:szCs w:val="20"/>
      <w:lang w:eastAsia="pl-PL"/>
    </w:rPr>
  </w:style>
  <w:style w:type="paragraph" w:customStyle="1" w:styleId="ZLITPKTzmpktliter">
    <w:name w:val="Z_LIT/PKT – zm. pkt literą"/>
    <w:basedOn w:val="PKTpunkt"/>
    <w:uiPriority w:val="47"/>
    <w:qFormat/>
    <w:rsid w:val="0080342C"/>
    <w:pPr>
      <w:ind w:left="1497"/>
    </w:pPr>
  </w:style>
  <w:style w:type="paragraph" w:customStyle="1" w:styleId="ZTIRwPKTzmtirwpktartykuempunktem">
    <w:name w:val="Z/TIR_w_PKT – zm. tir. w pkt artykułem (punktem)"/>
    <w:basedOn w:val="Normalny"/>
    <w:uiPriority w:val="33"/>
    <w:qFormat/>
    <w:rsid w:val="00BE7C40"/>
    <w:pPr>
      <w:spacing w:after="0" w:line="360" w:lineRule="auto"/>
      <w:ind w:left="1894" w:hanging="397"/>
      <w:jc w:val="both"/>
    </w:pPr>
    <w:rPr>
      <w:rFonts w:ascii="Times" w:eastAsiaTheme="minorEastAsia" w:hAnsi="Times" w:cs="Arial"/>
      <w:bCs/>
      <w:sz w:val="24"/>
      <w:szCs w:val="20"/>
      <w:lang w:eastAsia="pl-PL"/>
    </w:rPr>
  </w:style>
  <w:style w:type="paragraph" w:customStyle="1" w:styleId="ZCZWSPPKTzmczciwsppktartykuempunktem">
    <w:name w:val="Z/CZ_WSP_PKT – zm. części wsp. pkt artykułem (punktem)"/>
    <w:basedOn w:val="Normalny"/>
    <w:next w:val="ZARTzmartartykuempunktem"/>
    <w:uiPriority w:val="34"/>
    <w:qFormat/>
    <w:rsid w:val="00F86852"/>
    <w:pPr>
      <w:spacing w:after="0" w:line="360" w:lineRule="auto"/>
      <w:ind w:left="510"/>
      <w:jc w:val="both"/>
    </w:pPr>
    <w:rPr>
      <w:rFonts w:ascii="Times" w:eastAsiaTheme="minorEastAsia" w:hAnsi="Times" w:cs="Arial"/>
      <w:bCs/>
      <w:sz w:val="24"/>
      <w:szCs w:val="20"/>
      <w:lang w:eastAsia="pl-PL"/>
    </w:rPr>
  </w:style>
  <w:style w:type="paragraph" w:customStyle="1" w:styleId="LITlitera">
    <w:name w:val="LIT – litera"/>
    <w:basedOn w:val="PKTpunkt"/>
    <w:uiPriority w:val="14"/>
    <w:qFormat/>
    <w:rsid w:val="00505B02"/>
    <w:pPr>
      <w:ind w:left="986" w:hanging="476"/>
    </w:pPr>
  </w:style>
  <w:style w:type="paragraph" w:customStyle="1" w:styleId="CZWSPLITczwsplnaliter">
    <w:name w:val="CZ_WSP_LIT – część wspólna liter"/>
    <w:basedOn w:val="LITlitera"/>
    <w:next w:val="USTustnpkodeksu"/>
    <w:uiPriority w:val="17"/>
    <w:qFormat/>
    <w:rsid w:val="00680C5B"/>
    <w:pPr>
      <w:ind w:left="510" w:firstLine="0"/>
    </w:pPr>
    <w:rPr>
      <w:szCs w:val="24"/>
    </w:rPr>
  </w:style>
  <w:style w:type="paragraph" w:styleId="NormalnyWeb">
    <w:name w:val="Normal (Web)"/>
    <w:basedOn w:val="Normalny"/>
    <w:uiPriority w:val="99"/>
    <w:unhideWhenUsed/>
    <w:rsid w:val="001C5C1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LITARTzmartliter">
    <w:name w:val="Z_LIT/ART(§) – zm. art. (§) literą"/>
    <w:basedOn w:val="ZLITUSTzmustliter"/>
    <w:uiPriority w:val="46"/>
    <w:qFormat/>
    <w:rsid w:val="001C69FB"/>
    <w:rPr>
      <w:rFonts w:ascii="Times New Roman" w:hAnsi="Times New Roman"/>
    </w:rPr>
  </w:style>
  <w:style w:type="paragraph" w:customStyle="1" w:styleId="ODNONIKtreodnonika">
    <w:name w:val="ODNOŚNIK – treść odnośnika"/>
    <w:uiPriority w:val="99"/>
    <w:qFormat/>
    <w:rsid w:val="00FC4BF9"/>
    <w:pPr>
      <w:spacing w:after="0" w:line="240" w:lineRule="auto"/>
      <w:ind w:left="284" w:hanging="284"/>
      <w:jc w:val="both"/>
    </w:pPr>
    <w:rPr>
      <w:rFonts w:ascii="Times New Roman" w:eastAsiaTheme="minorEastAsia" w:hAnsi="Times New Roman" w:cs="Arial"/>
      <w:sz w:val="20"/>
      <w:szCs w:val="20"/>
      <w:lang w:eastAsia="pl-PL"/>
    </w:rPr>
  </w:style>
  <w:style w:type="character" w:customStyle="1" w:styleId="IGindeksgrny">
    <w:name w:val="_IG_ – indeks górny"/>
    <w:basedOn w:val="Domylnaczcionkaakapitu"/>
    <w:uiPriority w:val="2"/>
    <w:qFormat/>
    <w:rsid w:val="00FC4BF9"/>
    <w:rPr>
      <w:b w:val="0"/>
      <w:i w:val="0"/>
      <w:vanish w:val="0"/>
      <w:spacing w:val="0"/>
      <w:vertAlign w:val="superscript"/>
    </w:rPr>
  </w:style>
  <w:style w:type="character" w:customStyle="1" w:styleId="IDindeksdolny">
    <w:name w:val="_ID_ – indeks dolny"/>
    <w:basedOn w:val="Domylnaczcionkaakapitu"/>
    <w:uiPriority w:val="3"/>
    <w:qFormat/>
    <w:rsid w:val="00FC4BF9"/>
    <w:rPr>
      <w:b w:val="0"/>
      <w:i w:val="0"/>
      <w:vanish w:val="0"/>
      <w:spacing w:val="0"/>
      <w:vertAlign w:val="subscript"/>
    </w:rPr>
  </w:style>
  <w:style w:type="character" w:customStyle="1" w:styleId="TekstkomentarzaZnak1">
    <w:name w:val="Tekst komentarza Znak1"/>
    <w:basedOn w:val="Domylnaczcionkaakapitu"/>
    <w:uiPriority w:val="99"/>
    <w:rsid w:val="001F44A3"/>
    <w:rPr>
      <w:sz w:val="20"/>
      <w:szCs w:val="20"/>
    </w:rPr>
  </w:style>
  <w:style w:type="character" w:customStyle="1" w:styleId="Ppogrubienie">
    <w:name w:val="_P_ – pogrubienie"/>
    <w:basedOn w:val="Domylnaczcionkaakapitu"/>
    <w:uiPriority w:val="1"/>
    <w:qFormat/>
    <w:rsid w:val="007D64A2"/>
    <w:rPr>
      <w:b/>
    </w:rPr>
  </w:style>
  <w:style w:type="paragraph" w:customStyle="1" w:styleId="ZLITLITwPKTzmlitwpktliter">
    <w:name w:val="Z_LIT/LIT_w_PKT – zm. lit. w pkt literą"/>
    <w:basedOn w:val="LITlitera"/>
    <w:uiPriority w:val="48"/>
    <w:qFormat/>
    <w:rsid w:val="00B5406A"/>
    <w:pPr>
      <w:ind w:left="1973"/>
    </w:pPr>
  </w:style>
  <w:style w:type="paragraph" w:styleId="Poprawka">
    <w:name w:val="Revision"/>
    <w:hidden/>
    <w:uiPriority w:val="99"/>
    <w:semiHidden/>
    <w:rsid w:val="00F77B98"/>
    <w:pPr>
      <w:spacing w:after="0" w:line="240" w:lineRule="auto"/>
    </w:pPr>
  </w:style>
  <w:style w:type="character" w:customStyle="1" w:styleId="Stopka0">
    <w:name w:val="Stopka_"/>
    <w:basedOn w:val="Domylnaczcionkaakapitu"/>
    <w:link w:val="Stopka1"/>
    <w:rsid w:val="004A1154"/>
    <w:rPr>
      <w:rFonts w:ascii="Trebuchet MS" w:eastAsia="Trebuchet MS" w:hAnsi="Trebuchet MS" w:cs="Trebuchet MS"/>
      <w:b/>
      <w:bCs/>
      <w:sz w:val="16"/>
      <w:szCs w:val="16"/>
      <w:shd w:val="clear" w:color="auto" w:fill="FFFFFF"/>
    </w:rPr>
  </w:style>
  <w:style w:type="character" w:customStyle="1" w:styleId="Teksttreci2105ptKursywa">
    <w:name w:val="Tekst treści (2) + 10;5 pt;Kursywa"/>
    <w:basedOn w:val="Teksttreci2"/>
    <w:rsid w:val="004A1154"/>
    <w:rPr>
      <w:rFonts w:ascii="Trebuchet MS" w:eastAsia="Trebuchet MS" w:hAnsi="Trebuchet MS" w:cs="Trebuchet MS"/>
      <w:b w:val="0"/>
      <w:bCs w:val="0"/>
      <w:i/>
      <w:iCs/>
      <w:smallCaps w:val="0"/>
      <w:strike w:val="0"/>
      <w:color w:val="000000"/>
      <w:spacing w:val="0"/>
      <w:w w:val="100"/>
      <w:position w:val="0"/>
      <w:sz w:val="21"/>
      <w:szCs w:val="21"/>
      <w:u w:val="none"/>
      <w:lang w:val="pl-PL" w:eastAsia="pl-PL" w:bidi="pl-PL"/>
    </w:rPr>
  </w:style>
  <w:style w:type="paragraph" w:customStyle="1" w:styleId="Stopka1">
    <w:name w:val="Stopka1"/>
    <w:basedOn w:val="Normalny"/>
    <w:link w:val="Stopka0"/>
    <w:rsid w:val="004A1154"/>
    <w:pPr>
      <w:widowControl w:val="0"/>
      <w:shd w:val="clear" w:color="auto" w:fill="FFFFFF"/>
      <w:spacing w:after="0" w:line="206" w:lineRule="exact"/>
      <w:jc w:val="both"/>
    </w:pPr>
    <w:rPr>
      <w:rFonts w:ascii="Trebuchet MS" w:eastAsia="Trebuchet MS" w:hAnsi="Trebuchet MS" w:cs="Trebuchet MS"/>
      <w:b/>
      <w:bCs/>
      <w:sz w:val="16"/>
      <w:szCs w:val="16"/>
    </w:rPr>
  </w:style>
  <w:style w:type="character" w:customStyle="1" w:styleId="articletitle">
    <w:name w:val="articletitle"/>
    <w:basedOn w:val="Domylnaczcionkaakapitu"/>
    <w:rsid w:val="00AB7682"/>
  </w:style>
  <w:style w:type="character" w:customStyle="1" w:styleId="link-preview-wrapper">
    <w:name w:val="link-preview-wrapper"/>
    <w:basedOn w:val="Domylnaczcionkaakapitu"/>
    <w:rsid w:val="00AB7682"/>
  </w:style>
  <w:style w:type="character" w:styleId="Pogrubienie">
    <w:name w:val="Strong"/>
    <w:basedOn w:val="Domylnaczcionkaakapitu"/>
    <w:uiPriority w:val="22"/>
    <w:qFormat/>
    <w:rsid w:val="00E64C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3875">
      <w:bodyDiv w:val="1"/>
      <w:marLeft w:val="0"/>
      <w:marRight w:val="0"/>
      <w:marTop w:val="0"/>
      <w:marBottom w:val="0"/>
      <w:divBdr>
        <w:top w:val="none" w:sz="0" w:space="0" w:color="auto"/>
        <w:left w:val="none" w:sz="0" w:space="0" w:color="auto"/>
        <w:bottom w:val="none" w:sz="0" w:space="0" w:color="auto"/>
        <w:right w:val="none" w:sz="0" w:space="0" w:color="auto"/>
      </w:divBdr>
    </w:div>
    <w:div w:id="111677470">
      <w:bodyDiv w:val="1"/>
      <w:marLeft w:val="0"/>
      <w:marRight w:val="0"/>
      <w:marTop w:val="0"/>
      <w:marBottom w:val="0"/>
      <w:divBdr>
        <w:top w:val="none" w:sz="0" w:space="0" w:color="auto"/>
        <w:left w:val="none" w:sz="0" w:space="0" w:color="auto"/>
        <w:bottom w:val="none" w:sz="0" w:space="0" w:color="auto"/>
        <w:right w:val="none" w:sz="0" w:space="0" w:color="auto"/>
      </w:divBdr>
    </w:div>
    <w:div w:id="122306795">
      <w:bodyDiv w:val="1"/>
      <w:marLeft w:val="0"/>
      <w:marRight w:val="0"/>
      <w:marTop w:val="0"/>
      <w:marBottom w:val="0"/>
      <w:divBdr>
        <w:top w:val="none" w:sz="0" w:space="0" w:color="auto"/>
        <w:left w:val="none" w:sz="0" w:space="0" w:color="auto"/>
        <w:bottom w:val="none" w:sz="0" w:space="0" w:color="auto"/>
        <w:right w:val="none" w:sz="0" w:space="0" w:color="auto"/>
      </w:divBdr>
    </w:div>
    <w:div w:id="300310470">
      <w:bodyDiv w:val="1"/>
      <w:marLeft w:val="0"/>
      <w:marRight w:val="0"/>
      <w:marTop w:val="0"/>
      <w:marBottom w:val="0"/>
      <w:divBdr>
        <w:top w:val="none" w:sz="0" w:space="0" w:color="auto"/>
        <w:left w:val="none" w:sz="0" w:space="0" w:color="auto"/>
        <w:bottom w:val="none" w:sz="0" w:space="0" w:color="auto"/>
        <w:right w:val="none" w:sz="0" w:space="0" w:color="auto"/>
      </w:divBdr>
      <w:divsChild>
        <w:div w:id="2123452552">
          <w:marLeft w:val="0"/>
          <w:marRight w:val="0"/>
          <w:marTop w:val="0"/>
          <w:marBottom w:val="0"/>
          <w:divBdr>
            <w:top w:val="none" w:sz="0" w:space="0" w:color="auto"/>
            <w:left w:val="none" w:sz="0" w:space="0" w:color="auto"/>
            <w:bottom w:val="none" w:sz="0" w:space="0" w:color="auto"/>
            <w:right w:val="none" w:sz="0" w:space="0" w:color="auto"/>
          </w:divBdr>
        </w:div>
        <w:div w:id="292251377">
          <w:marLeft w:val="0"/>
          <w:marRight w:val="0"/>
          <w:marTop w:val="0"/>
          <w:marBottom w:val="0"/>
          <w:divBdr>
            <w:top w:val="none" w:sz="0" w:space="0" w:color="auto"/>
            <w:left w:val="none" w:sz="0" w:space="0" w:color="auto"/>
            <w:bottom w:val="none" w:sz="0" w:space="0" w:color="auto"/>
            <w:right w:val="none" w:sz="0" w:space="0" w:color="auto"/>
          </w:divBdr>
          <w:divsChild>
            <w:div w:id="350036224">
              <w:marLeft w:val="0"/>
              <w:marRight w:val="0"/>
              <w:marTop w:val="0"/>
              <w:marBottom w:val="0"/>
              <w:divBdr>
                <w:top w:val="none" w:sz="0" w:space="0" w:color="auto"/>
                <w:left w:val="none" w:sz="0" w:space="0" w:color="auto"/>
                <w:bottom w:val="none" w:sz="0" w:space="0" w:color="auto"/>
                <w:right w:val="none" w:sz="0" w:space="0" w:color="auto"/>
              </w:divBdr>
              <w:divsChild>
                <w:div w:id="3712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31787">
          <w:marLeft w:val="0"/>
          <w:marRight w:val="0"/>
          <w:marTop w:val="0"/>
          <w:marBottom w:val="0"/>
          <w:divBdr>
            <w:top w:val="none" w:sz="0" w:space="0" w:color="auto"/>
            <w:left w:val="none" w:sz="0" w:space="0" w:color="auto"/>
            <w:bottom w:val="none" w:sz="0" w:space="0" w:color="auto"/>
            <w:right w:val="none" w:sz="0" w:space="0" w:color="auto"/>
          </w:divBdr>
          <w:divsChild>
            <w:div w:id="719865393">
              <w:marLeft w:val="0"/>
              <w:marRight w:val="0"/>
              <w:marTop w:val="0"/>
              <w:marBottom w:val="0"/>
              <w:divBdr>
                <w:top w:val="none" w:sz="0" w:space="0" w:color="auto"/>
                <w:left w:val="none" w:sz="0" w:space="0" w:color="auto"/>
                <w:bottom w:val="none" w:sz="0" w:space="0" w:color="auto"/>
                <w:right w:val="none" w:sz="0" w:space="0" w:color="auto"/>
              </w:divBdr>
              <w:divsChild>
                <w:div w:id="117626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00293">
          <w:marLeft w:val="0"/>
          <w:marRight w:val="0"/>
          <w:marTop w:val="0"/>
          <w:marBottom w:val="0"/>
          <w:divBdr>
            <w:top w:val="none" w:sz="0" w:space="0" w:color="auto"/>
            <w:left w:val="none" w:sz="0" w:space="0" w:color="auto"/>
            <w:bottom w:val="none" w:sz="0" w:space="0" w:color="auto"/>
            <w:right w:val="none" w:sz="0" w:space="0" w:color="auto"/>
          </w:divBdr>
          <w:divsChild>
            <w:div w:id="670379532">
              <w:marLeft w:val="0"/>
              <w:marRight w:val="0"/>
              <w:marTop w:val="0"/>
              <w:marBottom w:val="0"/>
              <w:divBdr>
                <w:top w:val="none" w:sz="0" w:space="0" w:color="auto"/>
                <w:left w:val="none" w:sz="0" w:space="0" w:color="auto"/>
                <w:bottom w:val="none" w:sz="0" w:space="0" w:color="auto"/>
                <w:right w:val="none" w:sz="0" w:space="0" w:color="auto"/>
              </w:divBdr>
              <w:divsChild>
                <w:div w:id="86128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982483">
      <w:bodyDiv w:val="1"/>
      <w:marLeft w:val="0"/>
      <w:marRight w:val="0"/>
      <w:marTop w:val="0"/>
      <w:marBottom w:val="0"/>
      <w:divBdr>
        <w:top w:val="none" w:sz="0" w:space="0" w:color="auto"/>
        <w:left w:val="none" w:sz="0" w:space="0" w:color="auto"/>
        <w:bottom w:val="none" w:sz="0" w:space="0" w:color="auto"/>
        <w:right w:val="none" w:sz="0" w:space="0" w:color="auto"/>
      </w:divBdr>
    </w:div>
    <w:div w:id="370692016">
      <w:bodyDiv w:val="1"/>
      <w:marLeft w:val="0"/>
      <w:marRight w:val="0"/>
      <w:marTop w:val="0"/>
      <w:marBottom w:val="0"/>
      <w:divBdr>
        <w:top w:val="none" w:sz="0" w:space="0" w:color="auto"/>
        <w:left w:val="none" w:sz="0" w:space="0" w:color="auto"/>
        <w:bottom w:val="none" w:sz="0" w:space="0" w:color="auto"/>
        <w:right w:val="none" w:sz="0" w:space="0" w:color="auto"/>
      </w:divBdr>
    </w:div>
    <w:div w:id="435517372">
      <w:bodyDiv w:val="1"/>
      <w:marLeft w:val="0"/>
      <w:marRight w:val="0"/>
      <w:marTop w:val="0"/>
      <w:marBottom w:val="0"/>
      <w:divBdr>
        <w:top w:val="none" w:sz="0" w:space="0" w:color="auto"/>
        <w:left w:val="none" w:sz="0" w:space="0" w:color="auto"/>
        <w:bottom w:val="none" w:sz="0" w:space="0" w:color="auto"/>
        <w:right w:val="none" w:sz="0" w:space="0" w:color="auto"/>
      </w:divBdr>
    </w:div>
    <w:div w:id="450130012">
      <w:bodyDiv w:val="1"/>
      <w:marLeft w:val="0"/>
      <w:marRight w:val="0"/>
      <w:marTop w:val="0"/>
      <w:marBottom w:val="0"/>
      <w:divBdr>
        <w:top w:val="none" w:sz="0" w:space="0" w:color="auto"/>
        <w:left w:val="none" w:sz="0" w:space="0" w:color="auto"/>
        <w:bottom w:val="none" w:sz="0" w:space="0" w:color="auto"/>
        <w:right w:val="none" w:sz="0" w:space="0" w:color="auto"/>
      </w:divBdr>
    </w:div>
    <w:div w:id="469979943">
      <w:bodyDiv w:val="1"/>
      <w:marLeft w:val="0"/>
      <w:marRight w:val="0"/>
      <w:marTop w:val="0"/>
      <w:marBottom w:val="0"/>
      <w:divBdr>
        <w:top w:val="none" w:sz="0" w:space="0" w:color="auto"/>
        <w:left w:val="none" w:sz="0" w:space="0" w:color="auto"/>
        <w:bottom w:val="none" w:sz="0" w:space="0" w:color="auto"/>
        <w:right w:val="none" w:sz="0" w:space="0" w:color="auto"/>
      </w:divBdr>
    </w:div>
    <w:div w:id="523446818">
      <w:bodyDiv w:val="1"/>
      <w:marLeft w:val="0"/>
      <w:marRight w:val="0"/>
      <w:marTop w:val="0"/>
      <w:marBottom w:val="0"/>
      <w:divBdr>
        <w:top w:val="none" w:sz="0" w:space="0" w:color="auto"/>
        <w:left w:val="none" w:sz="0" w:space="0" w:color="auto"/>
        <w:bottom w:val="none" w:sz="0" w:space="0" w:color="auto"/>
        <w:right w:val="none" w:sz="0" w:space="0" w:color="auto"/>
      </w:divBdr>
    </w:div>
    <w:div w:id="557013195">
      <w:bodyDiv w:val="1"/>
      <w:marLeft w:val="0"/>
      <w:marRight w:val="0"/>
      <w:marTop w:val="0"/>
      <w:marBottom w:val="0"/>
      <w:divBdr>
        <w:top w:val="none" w:sz="0" w:space="0" w:color="auto"/>
        <w:left w:val="none" w:sz="0" w:space="0" w:color="auto"/>
        <w:bottom w:val="none" w:sz="0" w:space="0" w:color="auto"/>
        <w:right w:val="none" w:sz="0" w:space="0" w:color="auto"/>
      </w:divBdr>
    </w:div>
    <w:div w:id="640966926">
      <w:bodyDiv w:val="1"/>
      <w:marLeft w:val="0"/>
      <w:marRight w:val="0"/>
      <w:marTop w:val="0"/>
      <w:marBottom w:val="0"/>
      <w:divBdr>
        <w:top w:val="none" w:sz="0" w:space="0" w:color="auto"/>
        <w:left w:val="none" w:sz="0" w:space="0" w:color="auto"/>
        <w:bottom w:val="none" w:sz="0" w:space="0" w:color="auto"/>
        <w:right w:val="none" w:sz="0" w:space="0" w:color="auto"/>
      </w:divBdr>
    </w:div>
    <w:div w:id="676462986">
      <w:bodyDiv w:val="1"/>
      <w:marLeft w:val="0"/>
      <w:marRight w:val="0"/>
      <w:marTop w:val="0"/>
      <w:marBottom w:val="0"/>
      <w:divBdr>
        <w:top w:val="none" w:sz="0" w:space="0" w:color="auto"/>
        <w:left w:val="none" w:sz="0" w:space="0" w:color="auto"/>
        <w:bottom w:val="none" w:sz="0" w:space="0" w:color="auto"/>
        <w:right w:val="none" w:sz="0" w:space="0" w:color="auto"/>
      </w:divBdr>
      <w:divsChild>
        <w:div w:id="1993293502">
          <w:marLeft w:val="0"/>
          <w:marRight w:val="0"/>
          <w:marTop w:val="0"/>
          <w:marBottom w:val="0"/>
          <w:divBdr>
            <w:top w:val="none" w:sz="0" w:space="0" w:color="auto"/>
            <w:left w:val="none" w:sz="0" w:space="0" w:color="auto"/>
            <w:bottom w:val="none" w:sz="0" w:space="0" w:color="auto"/>
            <w:right w:val="none" w:sz="0" w:space="0" w:color="auto"/>
          </w:divBdr>
        </w:div>
      </w:divsChild>
    </w:div>
    <w:div w:id="682047001">
      <w:bodyDiv w:val="1"/>
      <w:marLeft w:val="0"/>
      <w:marRight w:val="0"/>
      <w:marTop w:val="0"/>
      <w:marBottom w:val="0"/>
      <w:divBdr>
        <w:top w:val="none" w:sz="0" w:space="0" w:color="auto"/>
        <w:left w:val="none" w:sz="0" w:space="0" w:color="auto"/>
        <w:bottom w:val="none" w:sz="0" w:space="0" w:color="auto"/>
        <w:right w:val="none" w:sz="0" w:space="0" w:color="auto"/>
      </w:divBdr>
      <w:divsChild>
        <w:div w:id="1479030489">
          <w:marLeft w:val="0"/>
          <w:marRight w:val="0"/>
          <w:marTop w:val="0"/>
          <w:marBottom w:val="0"/>
          <w:divBdr>
            <w:top w:val="none" w:sz="0" w:space="0" w:color="auto"/>
            <w:left w:val="none" w:sz="0" w:space="0" w:color="auto"/>
            <w:bottom w:val="none" w:sz="0" w:space="0" w:color="auto"/>
            <w:right w:val="none" w:sz="0" w:space="0" w:color="auto"/>
          </w:divBdr>
        </w:div>
      </w:divsChild>
    </w:div>
    <w:div w:id="762382362">
      <w:bodyDiv w:val="1"/>
      <w:marLeft w:val="0"/>
      <w:marRight w:val="0"/>
      <w:marTop w:val="0"/>
      <w:marBottom w:val="0"/>
      <w:divBdr>
        <w:top w:val="none" w:sz="0" w:space="0" w:color="auto"/>
        <w:left w:val="none" w:sz="0" w:space="0" w:color="auto"/>
        <w:bottom w:val="none" w:sz="0" w:space="0" w:color="auto"/>
        <w:right w:val="none" w:sz="0" w:space="0" w:color="auto"/>
      </w:divBdr>
    </w:div>
    <w:div w:id="799541227">
      <w:bodyDiv w:val="1"/>
      <w:marLeft w:val="0"/>
      <w:marRight w:val="0"/>
      <w:marTop w:val="0"/>
      <w:marBottom w:val="0"/>
      <w:divBdr>
        <w:top w:val="none" w:sz="0" w:space="0" w:color="auto"/>
        <w:left w:val="none" w:sz="0" w:space="0" w:color="auto"/>
        <w:bottom w:val="none" w:sz="0" w:space="0" w:color="auto"/>
        <w:right w:val="none" w:sz="0" w:space="0" w:color="auto"/>
      </w:divBdr>
      <w:divsChild>
        <w:div w:id="676006710">
          <w:marLeft w:val="0"/>
          <w:marRight w:val="0"/>
          <w:marTop w:val="0"/>
          <w:marBottom w:val="0"/>
          <w:divBdr>
            <w:top w:val="none" w:sz="0" w:space="0" w:color="auto"/>
            <w:left w:val="none" w:sz="0" w:space="0" w:color="auto"/>
            <w:bottom w:val="none" w:sz="0" w:space="0" w:color="auto"/>
            <w:right w:val="none" w:sz="0" w:space="0" w:color="auto"/>
          </w:divBdr>
        </w:div>
      </w:divsChild>
    </w:div>
    <w:div w:id="876700920">
      <w:bodyDiv w:val="1"/>
      <w:marLeft w:val="0"/>
      <w:marRight w:val="0"/>
      <w:marTop w:val="0"/>
      <w:marBottom w:val="0"/>
      <w:divBdr>
        <w:top w:val="none" w:sz="0" w:space="0" w:color="auto"/>
        <w:left w:val="none" w:sz="0" w:space="0" w:color="auto"/>
        <w:bottom w:val="none" w:sz="0" w:space="0" w:color="auto"/>
        <w:right w:val="none" w:sz="0" w:space="0" w:color="auto"/>
      </w:divBdr>
    </w:div>
    <w:div w:id="938756665">
      <w:bodyDiv w:val="1"/>
      <w:marLeft w:val="0"/>
      <w:marRight w:val="0"/>
      <w:marTop w:val="0"/>
      <w:marBottom w:val="0"/>
      <w:divBdr>
        <w:top w:val="none" w:sz="0" w:space="0" w:color="auto"/>
        <w:left w:val="none" w:sz="0" w:space="0" w:color="auto"/>
        <w:bottom w:val="none" w:sz="0" w:space="0" w:color="auto"/>
        <w:right w:val="none" w:sz="0" w:space="0" w:color="auto"/>
      </w:divBdr>
    </w:div>
    <w:div w:id="944924225">
      <w:bodyDiv w:val="1"/>
      <w:marLeft w:val="0"/>
      <w:marRight w:val="0"/>
      <w:marTop w:val="0"/>
      <w:marBottom w:val="0"/>
      <w:divBdr>
        <w:top w:val="none" w:sz="0" w:space="0" w:color="auto"/>
        <w:left w:val="none" w:sz="0" w:space="0" w:color="auto"/>
        <w:bottom w:val="none" w:sz="0" w:space="0" w:color="auto"/>
        <w:right w:val="none" w:sz="0" w:space="0" w:color="auto"/>
      </w:divBdr>
    </w:div>
    <w:div w:id="1012537347">
      <w:bodyDiv w:val="1"/>
      <w:marLeft w:val="0"/>
      <w:marRight w:val="0"/>
      <w:marTop w:val="0"/>
      <w:marBottom w:val="0"/>
      <w:divBdr>
        <w:top w:val="none" w:sz="0" w:space="0" w:color="auto"/>
        <w:left w:val="none" w:sz="0" w:space="0" w:color="auto"/>
        <w:bottom w:val="none" w:sz="0" w:space="0" w:color="auto"/>
        <w:right w:val="none" w:sz="0" w:space="0" w:color="auto"/>
      </w:divBdr>
    </w:div>
    <w:div w:id="1091701941">
      <w:bodyDiv w:val="1"/>
      <w:marLeft w:val="0"/>
      <w:marRight w:val="0"/>
      <w:marTop w:val="0"/>
      <w:marBottom w:val="0"/>
      <w:divBdr>
        <w:top w:val="none" w:sz="0" w:space="0" w:color="auto"/>
        <w:left w:val="none" w:sz="0" w:space="0" w:color="auto"/>
        <w:bottom w:val="none" w:sz="0" w:space="0" w:color="auto"/>
        <w:right w:val="none" w:sz="0" w:space="0" w:color="auto"/>
      </w:divBdr>
    </w:div>
    <w:div w:id="1204292223">
      <w:bodyDiv w:val="1"/>
      <w:marLeft w:val="0"/>
      <w:marRight w:val="0"/>
      <w:marTop w:val="0"/>
      <w:marBottom w:val="0"/>
      <w:divBdr>
        <w:top w:val="none" w:sz="0" w:space="0" w:color="auto"/>
        <w:left w:val="none" w:sz="0" w:space="0" w:color="auto"/>
        <w:bottom w:val="none" w:sz="0" w:space="0" w:color="auto"/>
        <w:right w:val="none" w:sz="0" w:space="0" w:color="auto"/>
      </w:divBdr>
    </w:div>
    <w:div w:id="1322808469">
      <w:bodyDiv w:val="1"/>
      <w:marLeft w:val="0"/>
      <w:marRight w:val="0"/>
      <w:marTop w:val="0"/>
      <w:marBottom w:val="0"/>
      <w:divBdr>
        <w:top w:val="none" w:sz="0" w:space="0" w:color="auto"/>
        <w:left w:val="none" w:sz="0" w:space="0" w:color="auto"/>
        <w:bottom w:val="none" w:sz="0" w:space="0" w:color="auto"/>
        <w:right w:val="none" w:sz="0" w:space="0" w:color="auto"/>
      </w:divBdr>
    </w:div>
    <w:div w:id="1406222926">
      <w:bodyDiv w:val="1"/>
      <w:marLeft w:val="0"/>
      <w:marRight w:val="0"/>
      <w:marTop w:val="0"/>
      <w:marBottom w:val="0"/>
      <w:divBdr>
        <w:top w:val="none" w:sz="0" w:space="0" w:color="auto"/>
        <w:left w:val="none" w:sz="0" w:space="0" w:color="auto"/>
        <w:bottom w:val="none" w:sz="0" w:space="0" w:color="auto"/>
        <w:right w:val="none" w:sz="0" w:space="0" w:color="auto"/>
      </w:divBdr>
      <w:divsChild>
        <w:div w:id="605892273">
          <w:marLeft w:val="0"/>
          <w:marRight w:val="0"/>
          <w:marTop w:val="0"/>
          <w:marBottom w:val="0"/>
          <w:divBdr>
            <w:top w:val="none" w:sz="0" w:space="0" w:color="auto"/>
            <w:left w:val="none" w:sz="0" w:space="0" w:color="auto"/>
            <w:bottom w:val="none" w:sz="0" w:space="0" w:color="auto"/>
            <w:right w:val="none" w:sz="0" w:space="0" w:color="auto"/>
          </w:divBdr>
          <w:divsChild>
            <w:div w:id="176908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230376">
      <w:bodyDiv w:val="1"/>
      <w:marLeft w:val="0"/>
      <w:marRight w:val="0"/>
      <w:marTop w:val="0"/>
      <w:marBottom w:val="0"/>
      <w:divBdr>
        <w:top w:val="none" w:sz="0" w:space="0" w:color="auto"/>
        <w:left w:val="none" w:sz="0" w:space="0" w:color="auto"/>
        <w:bottom w:val="none" w:sz="0" w:space="0" w:color="auto"/>
        <w:right w:val="none" w:sz="0" w:space="0" w:color="auto"/>
      </w:divBdr>
      <w:divsChild>
        <w:div w:id="959382031">
          <w:marLeft w:val="0"/>
          <w:marRight w:val="0"/>
          <w:marTop w:val="0"/>
          <w:marBottom w:val="0"/>
          <w:divBdr>
            <w:top w:val="none" w:sz="0" w:space="0" w:color="auto"/>
            <w:left w:val="none" w:sz="0" w:space="0" w:color="auto"/>
            <w:bottom w:val="none" w:sz="0" w:space="0" w:color="auto"/>
            <w:right w:val="none" w:sz="0" w:space="0" w:color="auto"/>
          </w:divBdr>
        </w:div>
        <w:div w:id="1862207331">
          <w:marLeft w:val="0"/>
          <w:marRight w:val="0"/>
          <w:marTop w:val="0"/>
          <w:marBottom w:val="0"/>
          <w:divBdr>
            <w:top w:val="none" w:sz="0" w:space="0" w:color="auto"/>
            <w:left w:val="none" w:sz="0" w:space="0" w:color="auto"/>
            <w:bottom w:val="none" w:sz="0" w:space="0" w:color="auto"/>
            <w:right w:val="none" w:sz="0" w:space="0" w:color="auto"/>
          </w:divBdr>
          <w:divsChild>
            <w:div w:id="2102331208">
              <w:marLeft w:val="0"/>
              <w:marRight w:val="0"/>
              <w:marTop w:val="0"/>
              <w:marBottom w:val="0"/>
              <w:divBdr>
                <w:top w:val="none" w:sz="0" w:space="0" w:color="auto"/>
                <w:left w:val="none" w:sz="0" w:space="0" w:color="auto"/>
                <w:bottom w:val="none" w:sz="0" w:space="0" w:color="auto"/>
                <w:right w:val="none" w:sz="0" w:space="0" w:color="auto"/>
              </w:divBdr>
            </w:div>
          </w:divsChild>
        </w:div>
        <w:div w:id="830292853">
          <w:marLeft w:val="0"/>
          <w:marRight w:val="0"/>
          <w:marTop w:val="0"/>
          <w:marBottom w:val="0"/>
          <w:divBdr>
            <w:top w:val="none" w:sz="0" w:space="0" w:color="auto"/>
            <w:left w:val="none" w:sz="0" w:space="0" w:color="auto"/>
            <w:bottom w:val="none" w:sz="0" w:space="0" w:color="auto"/>
            <w:right w:val="none" w:sz="0" w:space="0" w:color="auto"/>
          </w:divBdr>
          <w:divsChild>
            <w:div w:id="1633707603">
              <w:marLeft w:val="0"/>
              <w:marRight w:val="0"/>
              <w:marTop w:val="0"/>
              <w:marBottom w:val="0"/>
              <w:divBdr>
                <w:top w:val="none" w:sz="0" w:space="0" w:color="auto"/>
                <w:left w:val="none" w:sz="0" w:space="0" w:color="auto"/>
                <w:bottom w:val="none" w:sz="0" w:space="0" w:color="auto"/>
                <w:right w:val="none" w:sz="0" w:space="0" w:color="auto"/>
              </w:divBdr>
            </w:div>
            <w:div w:id="1558585551">
              <w:marLeft w:val="0"/>
              <w:marRight w:val="0"/>
              <w:marTop w:val="0"/>
              <w:marBottom w:val="0"/>
              <w:divBdr>
                <w:top w:val="none" w:sz="0" w:space="0" w:color="auto"/>
                <w:left w:val="none" w:sz="0" w:space="0" w:color="auto"/>
                <w:bottom w:val="none" w:sz="0" w:space="0" w:color="auto"/>
                <w:right w:val="none" w:sz="0" w:space="0" w:color="auto"/>
              </w:divBdr>
              <w:divsChild>
                <w:div w:id="1841848663">
                  <w:marLeft w:val="0"/>
                  <w:marRight w:val="0"/>
                  <w:marTop w:val="0"/>
                  <w:marBottom w:val="0"/>
                  <w:divBdr>
                    <w:top w:val="none" w:sz="0" w:space="0" w:color="auto"/>
                    <w:left w:val="none" w:sz="0" w:space="0" w:color="auto"/>
                    <w:bottom w:val="none" w:sz="0" w:space="0" w:color="auto"/>
                    <w:right w:val="none" w:sz="0" w:space="0" w:color="auto"/>
                  </w:divBdr>
                  <w:divsChild>
                    <w:div w:id="3896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462953">
              <w:marLeft w:val="0"/>
              <w:marRight w:val="0"/>
              <w:marTop w:val="0"/>
              <w:marBottom w:val="0"/>
              <w:divBdr>
                <w:top w:val="none" w:sz="0" w:space="0" w:color="auto"/>
                <w:left w:val="none" w:sz="0" w:space="0" w:color="auto"/>
                <w:bottom w:val="none" w:sz="0" w:space="0" w:color="auto"/>
                <w:right w:val="none" w:sz="0" w:space="0" w:color="auto"/>
              </w:divBdr>
              <w:divsChild>
                <w:div w:id="1485050653">
                  <w:marLeft w:val="0"/>
                  <w:marRight w:val="0"/>
                  <w:marTop w:val="0"/>
                  <w:marBottom w:val="0"/>
                  <w:divBdr>
                    <w:top w:val="none" w:sz="0" w:space="0" w:color="auto"/>
                    <w:left w:val="none" w:sz="0" w:space="0" w:color="auto"/>
                    <w:bottom w:val="none" w:sz="0" w:space="0" w:color="auto"/>
                    <w:right w:val="none" w:sz="0" w:space="0" w:color="auto"/>
                  </w:divBdr>
                  <w:divsChild>
                    <w:div w:id="65086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60902">
          <w:marLeft w:val="0"/>
          <w:marRight w:val="0"/>
          <w:marTop w:val="0"/>
          <w:marBottom w:val="0"/>
          <w:divBdr>
            <w:top w:val="none" w:sz="0" w:space="0" w:color="auto"/>
            <w:left w:val="none" w:sz="0" w:space="0" w:color="auto"/>
            <w:bottom w:val="none" w:sz="0" w:space="0" w:color="auto"/>
            <w:right w:val="none" w:sz="0" w:space="0" w:color="auto"/>
          </w:divBdr>
          <w:divsChild>
            <w:div w:id="2072654912">
              <w:marLeft w:val="0"/>
              <w:marRight w:val="0"/>
              <w:marTop w:val="0"/>
              <w:marBottom w:val="0"/>
              <w:divBdr>
                <w:top w:val="none" w:sz="0" w:space="0" w:color="auto"/>
                <w:left w:val="none" w:sz="0" w:space="0" w:color="auto"/>
                <w:bottom w:val="none" w:sz="0" w:space="0" w:color="auto"/>
                <w:right w:val="none" w:sz="0" w:space="0" w:color="auto"/>
              </w:divBdr>
            </w:div>
          </w:divsChild>
        </w:div>
        <w:div w:id="1527020817">
          <w:marLeft w:val="0"/>
          <w:marRight w:val="0"/>
          <w:marTop w:val="0"/>
          <w:marBottom w:val="0"/>
          <w:divBdr>
            <w:top w:val="none" w:sz="0" w:space="0" w:color="auto"/>
            <w:left w:val="none" w:sz="0" w:space="0" w:color="auto"/>
            <w:bottom w:val="none" w:sz="0" w:space="0" w:color="auto"/>
            <w:right w:val="none" w:sz="0" w:space="0" w:color="auto"/>
          </w:divBdr>
          <w:divsChild>
            <w:div w:id="471142687">
              <w:marLeft w:val="0"/>
              <w:marRight w:val="0"/>
              <w:marTop w:val="0"/>
              <w:marBottom w:val="0"/>
              <w:divBdr>
                <w:top w:val="none" w:sz="0" w:space="0" w:color="auto"/>
                <w:left w:val="none" w:sz="0" w:space="0" w:color="auto"/>
                <w:bottom w:val="none" w:sz="0" w:space="0" w:color="auto"/>
                <w:right w:val="none" w:sz="0" w:space="0" w:color="auto"/>
              </w:divBdr>
            </w:div>
          </w:divsChild>
        </w:div>
        <w:div w:id="1907913178">
          <w:marLeft w:val="0"/>
          <w:marRight w:val="0"/>
          <w:marTop w:val="0"/>
          <w:marBottom w:val="0"/>
          <w:divBdr>
            <w:top w:val="none" w:sz="0" w:space="0" w:color="auto"/>
            <w:left w:val="none" w:sz="0" w:space="0" w:color="auto"/>
            <w:bottom w:val="none" w:sz="0" w:space="0" w:color="auto"/>
            <w:right w:val="none" w:sz="0" w:space="0" w:color="auto"/>
          </w:divBdr>
          <w:divsChild>
            <w:div w:id="64875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2702">
      <w:bodyDiv w:val="1"/>
      <w:marLeft w:val="0"/>
      <w:marRight w:val="0"/>
      <w:marTop w:val="0"/>
      <w:marBottom w:val="0"/>
      <w:divBdr>
        <w:top w:val="none" w:sz="0" w:space="0" w:color="auto"/>
        <w:left w:val="none" w:sz="0" w:space="0" w:color="auto"/>
        <w:bottom w:val="none" w:sz="0" w:space="0" w:color="auto"/>
        <w:right w:val="none" w:sz="0" w:space="0" w:color="auto"/>
      </w:divBdr>
    </w:div>
    <w:div w:id="1928886105">
      <w:bodyDiv w:val="1"/>
      <w:marLeft w:val="0"/>
      <w:marRight w:val="0"/>
      <w:marTop w:val="0"/>
      <w:marBottom w:val="0"/>
      <w:divBdr>
        <w:top w:val="none" w:sz="0" w:space="0" w:color="auto"/>
        <w:left w:val="none" w:sz="0" w:space="0" w:color="auto"/>
        <w:bottom w:val="none" w:sz="0" w:space="0" w:color="auto"/>
        <w:right w:val="none" w:sz="0" w:space="0" w:color="auto"/>
      </w:divBdr>
      <w:divsChild>
        <w:div w:id="1710372004">
          <w:marLeft w:val="0"/>
          <w:marRight w:val="0"/>
          <w:marTop w:val="0"/>
          <w:marBottom w:val="0"/>
          <w:divBdr>
            <w:top w:val="none" w:sz="0" w:space="0" w:color="auto"/>
            <w:left w:val="none" w:sz="0" w:space="0" w:color="auto"/>
            <w:bottom w:val="none" w:sz="0" w:space="0" w:color="auto"/>
            <w:right w:val="none" w:sz="0" w:space="0" w:color="auto"/>
          </w:divBdr>
        </w:div>
        <w:div w:id="832141653">
          <w:marLeft w:val="0"/>
          <w:marRight w:val="0"/>
          <w:marTop w:val="0"/>
          <w:marBottom w:val="0"/>
          <w:divBdr>
            <w:top w:val="none" w:sz="0" w:space="0" w:color="auto"/>
            <w:left w:val="none" w:sz="0" w:space="0" w:color="auto"/>
            <w:bottom w:val="none" w:sz="0" w:space="0" w:color="auto"/>
            <w:right w:val="none" w:sz="0" w:space="0" w:color="auto"/>
          </w:divBdr>
          <w:divsChild>
            <w:div w:id="338897784">
              <w:marLeft w:val="0"/>
              <w:marRight w:val="0"/>
              <w:marTop w:val="0"/>
              <w:marBottom w:val="0"/>
              <w:divBdr>
                <w:top w:val="none" w:sz="0" w:space="0" w:color="auto"/>
                <w:left w:val="none" w:sz="0" w:space="0" w:color="auto"/>
                <w:bottom w:val="none" w:sz="0" w:space="0" w:color="auto"/>
                <w:right w:val="none" w:sz="0" w:space="0" w:color="auto"/>
              </w:divBdr>
              <w:divsChild>
                <w:div w:id="30836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5338">
          <w:marLeft w:val="0"/>
          <w:marRight w:val="0"/>
          <w:marTop w:val="0"/>
          <w:marBottom w:val="0"/>
          <w:divBdr>
            <w:top w:val="none" w:sz="0" w:space="0" w:color="auto"/>
            <w:left w:val="none" w:sz="0" w:space="0" w:color="auto"/>
            <w:bottom w:val="none" w:sz="0" w:space="0" w:color="auto"/>
            <w:right w:val="none" w:sz="0" w:space="0" w:color="auto"/>
          </w:divBdr>
          <w:divsChild>
            <w:div w:id="886797694">
              <w:marLeft w:val="0"/>
              <w:marRight w:val="0"/>
              <w:marTop w:val="0"/>
              <w:marBottom w:val="0"/>
              <w:divBdr>
                <w:top w:val="none" w:sz="0" w:space="0" w:color="auto"/>
                <w:left w:val="none" w:sz="0" w:space="0" w:color="auto"/>
                <w:bottom w:val="none" w:sz="0" w:space="0" w:color="auto"/>
                <w:right w:val="none" w:sz="0" w:space="0" w:color="auto"/>
              </w:divBdr>
              <w:divsChild>
                <w:div w:id="178156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9005">
          <w:marLeft w:val="0"/>
          <w:marRight w:val="0"/>
          <w:marTop w:val="0"/>
          <w:marBottom w:val="0"/>
          <w:divBdr>
            <w:top w:val="none" w:sz="0" w:space="0" w:color="auto"/>
            <w:left w:val="none" w:sz="0" w:space="0" w:color="auto"/>
            <w:bottom w:val="none" w:sz="0" w:space="0" w:color="auto"/>
            <w:right w:val="none" w:sz="0" w:space="0" w:color="auto"/>
          </w:divBdr>
          <w:divsChild>
            <w:div w:id="1899432835">
              <w:marLeft w:val="0"/>
              <w:marRight w:val="0"/>
              <w:marTop w:val="0"/>
              <w:marBottom w:val="0"/>
              <w:divBdr>
                <w:top w:val="none" w:sz="0" w:space="0" w:color="auto"/>
                <w:left w:val="none" w:sz="0" w:space="0" w:color="auto"/>
                <w:bottom w:val="none" w:sz="0" w:space="0" w:color="auto"/>
                <w:right w:val="none" w:sz="0" w:space="0" w:color="auto"/>
              </w:divBdr>
              <w:divsChild>
                <w:div w:id="178076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160002086" TargetMode="External"/><Relationship Id="rId13" Type="http://schemas.openxmlformats.org/officeDocument/2006/relationships/hyperlink" Target="https://sip.legalis.pl/document-view.seam?documentId=mfrxilrtg4zdcmbtgu3taltqmfyc4nzvgq3diobtha&amp;refSource=hy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ip.legalis.pl/document-view.seam?documentId=mfrxilrtg4zdenbxgq3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ap.sejm.gov.pl/isap.nsf/DocDetails.xsp?id=WDU2016000208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hyundai.com/pl/pl/serwis/serwis-wsparcie/akcje-przywolawcze.html" TargetMode="External"/><Relationship Id="rId4" Type="http://schemas.openxmlformats.org/officeDocument/2006/relationships/settings" Target="settings.xml"/><Relationship Id="rId9" Type="http://schemas.openxmlformats.org/officeDocument/2006/relationships/hyperlink" Target="https://recallactions.skoda-auto.com/456/pl-pl" TargetMode="External"/><Relationship Id="rId14" Type="http://schemas.openxmlformats.org/officeDocument/2006/relationships/hyperlink" Target="https://sip.legalis.pl/document-view.seam?documentId=mfrxilrtg4zdcmbtgu3taltqmfyc4nzvgq3diobuga&amp;refSource=hyp"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7D8C6-5923-4566-ACDA-1E7D1DCE0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93</Pages>
  <Words>60517</Words>
  <Characters>363108</Characters>
  <Application>Microsoft Office Word</Application>
  <DocSecurity>0</DocSecurity>
  <Lines>3025</Lines>
  <Paragraphs>845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Wójcikiewicz-Kawa Agata</dc:creator>
  <cp:keywords/>
  <dc:description/>
  <cp:lastModifiedBy>Krasowski Michał</cp:lastModifiedBy>
  <cp:revision>2</cp:revision>
  <dcterms:created xsi:type="dcterms:W3CDTF">2026-06-24T15:02:00Z</dcterms:created>
  <dcterms:modified xsi:type="dcterms:W3CDTF">2026-06-24T15:02:00Z</dcterms:modified>
</cp:coreProperties>
</file>